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C398E" w14:textId="77777777" w:rsidR="00A878E7" w:rsidRPr="00A878E7" w:rsidRDefault="00A878E7" w:rsidP="00A878E7">
      <w:pPr>
        <w:spacing w:line="240" w:lineRule="auto"/>
        <w:ind w:left="720"/>
        <w:jc w:val="both"/>
        <w:rPr>
          <w:rFonts w:ascii="Century Gothic" w:hAnsi="Century Gothic"/>
          <w:b/>
          <w:sz w:val="24"/>
          <w:szCs w:val="28"/>
          <w:lang w:val="ru-RU"/>
        </w:rPr>
      </w:pPr>
      <w:bookmarkStart w:id="0" w:name="_GoBack"/>
      <w:bookmarkEnd w:id="0"/>
      <w:r w:rsidRPr="00A878E7">
        <w:rPr>
          <w:rFonts w:ascii="Century Gothic" w:hAnsi="Century Gothic"/>
          <w:b/>
          <w:sz w:val="24"/>
          <w:szCs w:val="28"/>
          <w:lang w:val="ru-RU"/>
        </w:rPr>
        <w:t>В Москве завершилась конференция по оценочной деятельности - МКОД-2024</w:t>
      </w:r>
    </w:p>
    <w:p w14:paraId="051903E9" w14:textId="77777777" w:rsidR="00A878E7" w:rsidRPr="00A878E7" w:rsidRDefault="00A878E7" w:rsidP="00A878E7">
      <w:pPr>
        <w:spacing w:line="240" w:lineRule="auto"/>
        <w:ind w:firstLine="720"/>
        <w:jc w:val="both"/>
        <w:rPr>
          <w:rFonts w:ascii="Century Gothic" w:hAnsi="Century Gothic"/>
          <w:b/>
          <w:sz w:val="24"/>
          <w:szCs w:val="28"/>
          <w:lang w:val="ru-RU"/>
        </w:rPr>
      </w:pPr>
    </w:p>
    <w:p w14:paraId="2BB7B6EC" w14:textId="77777777" w:rsidR="00A878E7" w:rsidRPr="00A878E7" w:rsidRDefault="00A878E7" w:rsidP="00A878E7">
      <w:pPr>
        <w:spacing w:line="240" w:lineRule="auto"/>
        <w:ind w:firstLine="720"/>
        <w:jc w:val="both"/>
        <w:rPr>
          <w:rFonts w:ascii="Century Gothic" w:hAnsi="Century Gothic"/>
          <w:sz w:val="24"/>
          <w:szCs w:val="28"/>
          <w:lang w:val="ru-RU"/>
        </w:rPr>
      </w:pPr>
      <w:r w:rsidRPr="00A878E7">
        <w:rPr>
          <w:rFonts w:ascii="Century Gothic" w:hAnsi="Century Gothic"/>
          <w:sz w:val="24"/>
          <w:szCs w:val="28"/>
          <w:lang w:val="ru-RU"/>
        </w:rPr>
        <w:t xml:space="preserve">17 октября в NOVOTEL MOSCOW CITY состоялась XIV международная конференция по оценочной деятельности - МКОД-2024. Мероприятие является одним из ключевых событий года для специалистов сферы залогов и оценки. Ежегодно на площадке конференции собираются представители органов государственной власти и бизнеса – руководители залоговых служб, управлений по работе с имуществом и проблемными активами из крупнейших банков, государственных корпораций, общественных объединений, оценочных и консалтинговых компаний. </w:t>
      </w:r>
    </w:p>
    <w:p w14:paraId="41F134D4" w14:textId="7228A9C6" w:rsidR="00A878E7" w:rsidRPr="00A878E7" w:rsidRDefault="00A878E7" w:rsidP="00A878E7">
      <w:pPr>
        <w:spacing w:line="240" w:lineRule="auto"/>
        <w:ind w:firstLine="720"/>
        <w:jc w:val="both"/>
        <w:rPr>
          <w:rFonts w:ascii="Century Gothic" w:hAnsi="Century Gothic"/>
          <w:sz w:val="24"/>
          <w:szCs w:val="28"/>
          <w:lang w:val="ru-RU"/>
        </w:rPr>
      </w:pPr>
      <w:r w:rsidRPr="00A878E7">
        <w:rPr>
          <w:rFonts w:ascii="Century Gothic" w:hAnsi="Century Gothic"/>
          <w:sz w:val="24"/>
          <w:szCs w:val="28"/>
          <w:lang w:val="ru-RU"/>
        </w:rPr>
        <w:t xml:space="preserve">Мероприятие было организовано </w:t>
      </w:r>
      <w:hyperlink r:id="rId7" w:history="1">
        <w:r w:rsidR="003A53FD">
          <w:rPr>
            <w:rStyle w:val="aa"/>
            <w:rFonts w:ascii="Century Gothic" w:hAnsi="Century Gothic"/>
            <w:color w:val="0070C0"/>
            <w:sz w:val="24"/>
            <w:szCs w:val="24"/>
          </w:rPr>
          <w:t>Группой SRG</w:t>
        </w:r>
      </w:hyperlink>
      <w:r w:rsidRPr="00A878E7">
        <w:rPr>
          <w:rFonts w:ascii="Century Gothic" w:hAnsi="Century Gothic"/>
          <w:sz w:val="24"/>
          <w:szCs w:val="28"/>
          <w:lang w:val="ru-RU"/>
        </w:rPr>
        <w:t xml:space="preserve"> совместно с Ассоциацией банков России при поддержке общественной организации «Деловая Россия» и Российской гильдии управляющих и девелоперов. Конференция прошла в гибридном формате, что позволило расширить ее географию и увеличить охват участников. Онлайн-трансляция МКОД-2024 велась на платформе </w:t>
      </w:r>
      <w:proofErr w:type="spellStart"/>
      <w:r w:rsidRPr="00A878E7">
        <w:rPr>
          <w:rFonts w:ascii="Century Gothic" w:hAnsi="Century Gothic"/>
          <w:sz w:val="24"/>
          <w:szCs w:val="28"/>
          <w:lang w:val="ru-RU"/>
        </w:rPr>
        <w:t>Rutube</w:t>
      </w:r>
      <w:proofErr w:type="spellEnd"/>
      <w:r w:rsidRPr="00A878E7">
        <w:rPr>
          <w:rFonts w:ascii="Century Gothic" w:hAnsi="Century Gothic"/>
          <w:sz w:val="24"/>
          <w:szCs w:val="28"/>
          <w:lang w:val="ru-RU"/>
        </w:rPr>
        <w:t xml:space="preserve">. </w:t>
      </w:r>
    </w:p>
    <w:p w14:paraId="5D849297" w14:textId="77777777" w:rsidR="00A878E7" w:rsidRPr="00A878E7" w:rsidRDefault="00A878E7" w:rsidP="00A878E7">
      <w:pPr>
        <w:spacing w:line="240" w:lineRule="auto"/>
        <w:ind w:firstLine="720"/>
        <w:jc w:val="both"/>
        <w:rPr>
          <w:rFonts w:ascii="Century Gothic" w:hAnsi="Century Gothic"/>
          <w:sz w:val="24"/>
          <w:szCs w:val="28"/>
          <w:lang w:val="ru-RU"/>
        </w:rPr>
      </w:pPr>
      <w:r w:rsidRPr="00A878E7">
        <w:rPr>
          <w:rFonts w:ascii="Century Gothic" w:hAnsi="Century Gothic"/>
          <w:sz w:val="24"/>
          <w:szCs w:val="28"/>
          <w:lang w:val="ru-RU"/>
        </w:rPr>
        <w:t xml:space="preserve">В этом году внимание спикеров конференции было сосредоточено на следующих вопросах: трансформация оценочной деятельности в условиях новых вызовов, возможности использования искусственного интеллекта в оценке, основные тренды рынка. </w:t>
      </w:r>
    </w:p>
    <w:p w14:paraId="41F88212" w14:textId="77777777" w:rsidR="00A878E7" w:rsidRPr="00A878E7" w:rsidRDefault="00A878E7" w:rsidP="00A878E7">
      <w:pPr>
        <w:spacing w:line="240" w:lineRule="auto"/>
        <w:ind w:firstLine="720"/>
        <w:jc w:val="both"/>
        <w:rPr>
          <w:rFonts w:ascii="Century Gothic" w:hAnsi="Century Gothic"/>
          <w:sz w:val="24"/>
          <w:szCs w:val="28"/>
          <w:lang w:val="ru-RU"/>
        </w:rPr>
      </w:pPr>
      <w:r w:rsidRPr="00A878E7">
        <w:rPr>
          <w:rFonts w:ascii="Century Gothic" w:hAnsi="Century Gothic"/>
          <w:sz w:val="24"/>
          <w:szCs w:val="28"/>
          <w:lang w:val="ru-RU"/>
        </w:rPr>
        <w:t>Деловая программа МКОД - 2024 включала в себя пленарное заседание и две сессии.</w:t>
      </w:r>
    </w:p>
    <w:p w14:paraId="75A2D6DC" w14:textId="77777777" w:rsidR="00A878E7" w:rsidRPr="00A878E7" w:rsidRDefault="00A878E7" w:rsidP="00A878E7">
      <w:pPr>
        <w:spacing w:line="240" w:lineRule="auto"/>
        <w:ind w:firstLine="720"/>
        <w:jc w:val="both"/>
        <w:rPr>
          <w:rFonts w:ascii="Century Gothic" w:hAnsi="Century Gothic"/>
          <w:sz w:val="24"/>
          <w:szCs w:val="28"/>
          <w:lang w:val="ru-RU"/>
        </w:rPr>
      </w:pPr>
      <w:r w:rsidRPr="00A878E7">
        <w:rPr>
          <w:rFonts w:ascii="Century Gothic" w:hAnsi="Century Gothic"/>
          <w:sz w:val="24"/>
          <w:szCs w:val="28"/>
          <w:lang w:val="ru-RU"/>
        </w:rPr>
        <w:t>Участники пленарного заседания обсудили:</w:t>
      </w:r>
    </w:p>
    <w:p w14:paraId="0319AC76" w14:textId="77777777" w:rsidR="00A878E7" w:rsidRPr="000474A4" w:rsidRDefault="00A878E7" w:rsidP="000474A4">
      <w:pPr>
        <w:pStyle w:val="a9"/>
        <w:numPr>
          <w:ilvl w:val="0"/>
          <w:numId w:val="2"/>
        </w:numPr>
        <w:spacing w:line="240" w:lineRule="auto"/>
        <w:jc w:val="both"/>
        <w:rPr>
          <w:rFonts w:ascii="Century Gothic" w:hAnsi="Century Gothic"/>
          <w:sz w:val="24"/>
          <w:szCs w:val="28"/>
          <w:lang w:val="ru-RU"/>
        </w:rPr>
      </w:pPr>
      <w:r w:rsidRPr="000474A4">
        <w:rPr>
          <w:rFonts w:ascii="Century Gothic" w:hAnsi="Century Gothic"/>
          <w:sz w:val="24"/>
          <w:szCs w:val="28"/>
          <w:lang w:val="ru-RU"/>
        </w:rPr>
        <w:t>тенденции развития рынка оценки;</w:t>
      </w:r>
    </w:p>
    <w:p w14:paraId="0AF9EC22" w14:textId="77777777" w:rsidR="00A878E7" w:rsidRPr="000474A4" w:rsidRDefault="00A878E7" w:rsidP="000474A4">
      <w:pPr>
        <w:pStyle w:val="a9"/>
        <w:numPr>
          <w:ilvl w:val="0"/>
          <w:numId w:val="2"/>
        </w:numPr>
        <w:spacing w:line="240" w:lineRule="auto"/>
        <w:jc w:val="both"/>
        <w:rPr>
          <w:rFonts w:ascii="Century Gothic" w:hAnsi="Century Gothic"/>
          <w:sz w:val="24"/>
          <w:szCs w:val="28"/>
          <w:lang w:val="ru-RU"/>
        </w:rPr>
      </w:pPr>
      <w:r w:rsidRPr="000474A4">
        <w:rPr>
          <w:rFonts w:ascii="Century Gothic" w:hAnsi="Century Gothic"/>
          <w:sz w:val="24"/>
          <w:szCs w:val="28"/>
          <w:lang w:val="ru-RU"/>
        </w:rPr>
        <w:t>планы на формирование единого рынка оценочных услуг;</w:t>
      </w:r>
    </w:p>
    <w:p w14:paraId="30E48FD9" w14:textId="77777777" w:rsidR="00A878E7" w:rsidRPr="000474A4" w:rsidRDefault="00A878E7" w:rsidP="000474A4">
      <w:pPr>
        <w:pStyle w:val="a9"/>
        <w:numPr>
          <w:ilvl w:val="0"/>
          <w:numId w:val="2"/>
        </w:numPr>
        <w:spacing w:line="240" w:lineRule="auto"/>
        <w:jc w:val="both"/>
        <w:rPr>
          <w:rFonts w:ascii="Century Gothic" w:hAnsi="Century Gothic"/>
          <w:sz w:val="24"/>
          <w:szCs w:val="28"/>
          <w:lang w:val="ru-RU"/>
        </w:rPr>
      </w:pPr>
      <w:r w:rsidRPr="000474A4">
        <w:rPr>
          <w:rFonts w:ascii="Century Gothic" w:hAnsi="Century Gothic"/>
          <w:sz w:val="24"/>
          <w:szCs w:val="28"/>
          <w:lang w:val="ru-RU"/>
        </w:rPr>
        <w:t>поправки в действующее законодательство;</w:t>
      </w:r>
    </w:p>
    <w:p w14:paraId="4B6F4AD8" w14:textId="77777777" w:rsidR="00A878E7" w:rsidRPr="000474A4" w:rsidRDefault="00A878E7" w:rsidP="000474A4">
      <w:pPr>
        <w:pStyle w:val="a9"/>
        <w:numPr>
          <w:ilvl w:val="0"/>
          <w:numId w:val="2"/>
        </w:numPr>
        <w:spacing w:line="240" w:lineRule="auto"/>
        <w:jc w:val="both"/>
        <w:rPr>
          <w:rFonts w:ascii="Century Gothic" w:hAnsi="Century Gothic"/>
          <w:sz w:val="24"/>
          <w:szCs w:val="28"/>
          <w:lang w:val="ru-RU"/>
        </w:rPr>
      </w:pPr>
      <w:r w:rsidRPr="000474A4">
        <w:rPr>
          <w:rFonts w:ascii="Century Gothic" w:hAnsi="Century Gothic"/>
          <w:sz w:val="24"/>
          <w:szCs w:val="28"/>
          <w:lang w:val="ru-RU"/>
        </w:rPr>
        <w:t>специфику оценки государственного имущества.</w:t>
      </w:r>
    </w:p>
    <w:p w14:paraId="079714F4" w14:textId="77777777" w:rsidR="00A878E7" w:rsidRPr="00A878E7" w:rsidRDefault="00A878E7" w:rsidP="00A878E7">
      <w:pPr>
        <w:spacing w:line="240" w:lineRule="auto"/>
        <w:ind w:firstLine="720"/>
        <w:jc w:val="both"/>
        <w:rPr>
          <w:rFonts w:ascii="Century Gothic" w:hAnsi="Century Gothic"/>
          <w:sz w:val="24"/>
          <w:szCs w:val="28"/>
          <w:lang w:val="ru-RU"/>
        </w:rPr>
      </w:pPr>
      <w:r w:rsidRPr="00A878E7">
        <w:rPr>
          <w:rFonts w:ascii="Century Gothic" w:hAnsi="Century Gothic"/>
          <w:sz w:val="24"/>
          <w:szCs w:val="28"/>
          <w:lang w:val="ru-RU"/>
        </w:rPr>
        <w:t xml:space="preserve">В заседании приняли участие Анатолий </w:t>
      </w:r>
      <w:proofErr w:type="spellStart"/>
      <w:r w:rsidRPr="00A878E7">
        <w:rPr>
          <w:rFonts w:ascii="Century Gothic" w:hAnsi="Century Gothic"/>
          <w:sz w:val="24"/>
          <w:szCs w:val="28"/>
          <w:lang w:val="ru-RU"/>
        </w:rPr>
        <w:t>Козлачков</w:t>
      </w:r>
      <w:proofErr w:type="spellEnd"/>
      <w:r w:rsidRPr="00A878E7">
        <w:rPr>
          <w:rFonts w:ascii="Century Gothic" w:hAnsi="Century Gothic"/>
          <w:sz w:val="24"/>
          <w:szCs w:val="28"/>
          <w:lang w:val="ru-RU"/>
        </w:rPr>
        <w:t xml:space="preserve"> - президент Ассоциации банков России, Ирина Филиппова - заместитель директора Департамента корпоративного регулирования Минэкономразвития России, партнер Группы SRG Владимир Олейников, начальник управления организации оценки федерального имущества Росимущества Вадим Смоляков, заместитель министра имущественных отношений Московской области Юрий </w:t>
      </w:r>
      <w:proofErr w:type="spellStart"/>
      <w:r w:rsidRPr="00A878E7">
        <w:rPr>
          <w:rFonts w:ascii="Century Gothic" w:hAnsi="Century Gothic"/>
          <w:sz w:val="24"/>
          <w:szCs w:val="28"/>
          <w:lang w:val="ru-RU"/>
        </w:rPr>
        <w:t>Лавряков</w:t>
      </w:r>
      <w:proofErr w:type="spellEnd"/>
      <w:r w:rsidRPr="00A878E7">
        <w:rPr>
          <w:rFonts w:ascii="Century Gothic" w:hAnsi="Century Gothic"/>
          <w:sz w:val="24"/>
          <w:szCs w:val="28"/>
          <w:lang w:val="ru-RU"/>
        </w:rPr>
        <w:t>. Модерировал заседание Федор Спиридонов - управляющий партнер Группы SRG.</w:t>
      </w:r>
    </w:p>
    <w:p w14:paraId="4A0B9395" w14:textId="106338A6" w:rsidR="00A878E7" w:rsidRPr="00A878E7" w:rsidRDefault="00A878E7" w:rsidP="00A878E7">
      <w:pPr>
        <w:spacing w:line="240" w:lineRule="auto"/>
        <w:ind w:firstLine="720"/>
        <w:jc w:val="both"/>
        <w:rPr>
          <w:rFonts w:ascii="Century Gothic" w:hAnsi="Century Gothic"/>
          <w:sz w:val="24"/>
          <w:szCs w:val="28"/>
          <w:lang w:val="ru-RU"/>
        </w:rPr>
      </w:pPr>
      <w:r w:rsidRPr="00A878E7">
        <w:rPr>
          <w:rFonts w:ascii="Century Gothic" w:hAnsi="Century Gothic"/>
          <w:sz w:val="24"/>
          <w:szCs w:val="28"/>
          <w:lang w:val="ru-RU"/>
        </w:rPr>
        <w:t xml:space="preserve">Выступления 1-ой сессии конференции были посвящены возможностям применения искусственного интеллекта в оценочной деятельности.  Модератором этой части мероприятия стал Виктор Рослов - председатель комитета по залогам и оценке Ассоциации банков России, директор подразделения «Инвестиционная оценка» АО «Дом РФ». О современных методах мониторинга объектов недвижимости как предметов залога рассказал Антон Вовк, руководитель департамента залогов – старший вице-президент Банка ВТБ (ПАО), председатель </w:t>
      </w:r>
      <w:r w:rsidRPr="00A878E7">
        <w:rPr>
          <w:rFonts w:ascii="Century Gothic" w:hAnsi="Century Gothic"/>
          <w:sz w:val="24"/>
          <w:szCs w:val="28"/>
          <w:lang w:val="ru-RU"/>
        </w:rPr>
        <w:lastRenderedPageBreak/>
        <w:t xml:space="preserve">комитета по оценочной деятельности РГУД. Свое видение возможностей сочетания экспертизы и искусственного интеллекта в оценке жилья представил Максим Русаков, партнер Группы SRG. Фарид </w:t>
      </w:r>
      <w:proofErr w:type="spellStart"/>
      <w:r w:rsidRPr="00A878E7">
        <w:rPr>
          <w:rFonts w:ascii="Century Gothic" w:hAnsi="Century Gothic"/>
          <w:sz w:val="24"/>
          <w:szCs w:val="28"/>
          <w:lang w:val="ru-RU"/>
        </w:rPr>
        <w:t>Илишкин</w:t>
      </w:r>
      <w:proofErr w:type="spellEnd"/>
      <w:r w:rsidRPr="00A878E7">
        <w:rPr>
          <w:rFonts w:ascii="Century Gothic" w:hAnsi="Century Gothic"/>
          <w:sz w:val="24"/>
          <w:szCs w:val="28"/>
          <w:lang w:val="ru-RU"/>
        </w:rPr>
        <w:t xml:space="preserve"> - партнер компании “Технология Доверия” -   выступил с докладом «Искусственный интеллект в оценке». Об основных тенденциях развития залоговой службы слушатели конференции узнали из выступления управляющего директора - начальника управления оценки и залоговых операций </w:t>
      </w:r>
      <w:proofErr w:type="spellStart"/>
      <w:r w:rsidRPr="00A878E7">
        <w:rPr>
          <w:rFonts w:ascii="Century Gothic" w:hAnsi="Century Gothic"/>
          <w:sz w:val="24"/>
          <w:szCs w:val="28"/>
          <w:lang w:val="ru-RU"/>
        </w:rPr>
        <w:t>Сбера</w:t>
      </w:r>
      <w:proofErr w:type="spellEnd"/>
      <w:r w:rsidRPr="00A878E7">
        <w:rPr>
          <w:rFonts w:ascii="Century Gothic" w:hAnsi="Century Gothic"/>
          <w:sz w:val="24"/>
          <w:szCs w:val="28"/>
          <w:lang w:val="ru-RU"/>
        </w:rPr>
        <w:t xml:space="preserve"> Евгения Щеглова. Юлия Усова, ректор Института профессионального образования, член Совета по оценочной деятельности при Минэкономразвития России, член рабочей группы по оценке Евразийской экономической комиссии (ЕЭК) рассказала участникам МКОД об автоматизации процессов управления активами. Павел Юров, заместитель директора департамента по работе с залогами </w:t>
      </w:r>
      <w:proofErr w:type="spellStart"/>
      <w:r w:rsidRPr="00A878E7">
        <w:rPr>
          <w:rFonts w:ascii="Century Gothic" w:hAnsi="Century Gothic"/>
          <w:sz w:val="24"/>
          <w:szCs w:val="28"/>
          <w:lang w:val="ru-RU"/>
        </w:rPr>
        <w:t>Россельхозбанка</w:t>
      </w:r>
      <w:proofErr w:type="spellEnd"/>
      <w:r w:rsidRPr="00A878E7">
        <w:rPr>
          <w:rFonts w:ascii="Century Gothic" w:hAnsi="Century Gothic"/>
          <w:sz w:val="24"/>
          <w:szCs w:val="28"/>
          <w:lang w:val="ru-RU"/>
        </w:rPr>
        <w:t xml:space="preserve"> поделился со слушателями современными решениями банка для работы с залогами. Выступление Татьяны </w:t>
      </w:r>
      <w:proofErr w:type="spellStart"/>
      <w:r w:rsidRPr="00A878E7">
        <w:rPr>
          <w:rFonts w:ascii="Century Gothic" w:hAnsi="Century Gothic"/>
          <w:sz w:val="24"/>
          <w:szCs w:val="28"/>
          <w:lang w:val="ru-RU"/>
        </w:rPr>
        <w:t>Глотовой</w:t>
      </w:r>
      <w:proofErr w:type="spellEnd"/>
      <w:r w:rsidRPr="00A878E7">
        <w:rPr>
          <w:rFonts w:ascii="Century Gothic" w:hAnsi="Century Gothic"/>
          <w:sz w:val="24"/>
          <w:szCs w:val="28"/>
          <w:lang w:val="ru-RU"/>
        </w:rPr>
        <w:t>, директора по оценке бизнес-блока ГКР ВЭБ.РФ, было посвящено качеству предоставляемых оценщиками услуг.</w:t>
      </w:r>
    </w:p>
    <w:p w14:paraId="392984C9" w14:textId="3541F31A" w:rsidR="00A878E7" w:rsidRPr="00A878E7" w:rsidRDefault="00A878E7" w:rsidP="00A878E7">
      <w:pPr>
        <w:spacing w:line="240" w:lineRule="auto"/>
        <w:ind w:firstLine="720"/>
        <w:jc w:val="both"/>
        <w:rPr>
          <w:rFonts w:ascii="Century Gothic" w:hAnsi="Century Gothic"/>
          <w:sz w:val="24"/>
          <w:szCs w:val="28"/>
          <w:lang w:val="ru-RU"/>
        </w:rPr>
      </w:pPr>
      <w:r w:rsidRPr="00A878E7">
        <w:rPr>
          <w:rFonts w:ascii="Century Gothic" w:hAnsi="Century Gothic"/>
          <w:sz w:val="24"/>
          <w:szCs w:val="28"/>
          <w:lang w:val="ru-RU"/>
        </w:rPr>
        <w:t>В фокусе внимания спикеров 2-ой сессии оказались тренды развития</w:t>
      </w:r>
      <w:r>
        <w:rPr>
          <w:rFonts w:ascii="Century Gothic" w:hAnsi="Century Gothic"/>
          <w:sz w:val="24"/>
          <w:szCs w:val="28"/>
          <w:lang w:val="ru-RU"/>
        </w:rPr>
        <w:t xml:space="preserve"> </w:t>
      </w:r>
      <w:r w:rsidRPr="00A878E7">
        <w:rPr>
          <w:rFonts w:ascii="Century Gothic" w:hAnsi="Century Gothic"/>
          <w:sz w:val="24"/>
          <w:szCs w:val="28"/>
          <w:lang w:val="ru-RU"/>
        </w:rPr>
        <w:t xml:space="preserve">рынка оценки. Темами для обсуждения стали сделки M&amp;A, оценочные услуги для выхода нерезидентов, исследования при установлении даты и причин объективного банкротства, оспаривание кадастровой стоимости, расчет корректировок при оценке коммерческой недвижимости. Выступили: Галина Булычева - член Совета по оценочной деятельности при Минэкономразвития России, председатель экспертного Совета СМАО, заместитель Генерального директора ООО «ОКС «ЛАБС, Владимир Лебединский - первый вице-президент, председатель Экспертного совета СРО «Региональная ассоциация оценщиков»,  Василий Савин - партнер компании </w:t>
      </w:r>
      <w:proofErr w:type="spellStart"/>
      <w:r w:rsidRPr="00A878E7">
        <w:rPr>
          <w:rFonts w:ascii="Century Gothic" w:hAnsi="Century Gothic"/>
          <w:sz w:val="24"/>
          <w:szCs w:val="28"/>
          <w:lang w:val="ru-RU"/>
        </w:rPr>
        <w:t>Kept</w:t>
      </w:r>
      <w:proofErr w:type="spellEnd"/>
      <w:r w:rsidRPr="00A878E7">
        <w:rPr>
          <w:rFonts w:ascii="Century Gothic" w:hAnsi="Century Gothic"/>
          <w:sz w:val="24"/>
          <w:szCs w:val="28"/>
          <w:lang w:val="ru-RU"/>
        </w:rPr>
        <w:t>, Василий Иллювиев - партнер практики консалтинга, технологии и транзакций Группы Б1, Елена Каверина - директор департамента консалтинга и оценки ООО «</w:t>
      </w:r>
      <w:proofErr w:type="spellStart"/>
      <w:r w:rsidRPr="00A878E7">
        <w:rPr>
          <w:rFonts w:ascii="Century Gothic" w:hAnsi="Century Gothic"/>
          <w:sz w:val="24"/>
          <w:szCs w:val="28"/>
          <w:lang w:val="ru-RU"/>
        </w:rPr>
        <w:t>Пачоли</w:t>
      </w:r>
      <w:proofErr w:type="spellEnd"/>
      <w:r w:rsidRPr="00A878E7">
        <w:rPr>
          <w:rFonts w:ascii="Century Gothic" w:hAnsi="Century Gothic"/>
          <w:sz w:val="24"/>
          <w:szCs w:val="28"/>
          <w:lang w:val="ru-RU"/>
        </w:rPr>
        <w:t xml:space="preserve"> Консалтинг», Кирилл Кулаков - президент СРО «Региональная ассоциация оценщиков», общественный уполномоченный по вопросам судебной экспертизы, кадастровой оценки и оспариванию кадастровой стоимости г. Москвы. За модерацию сессии отвечал старший директор группы SRG, руководитель направления «Оценка бизнеса и финансовый консалтинг» Эдуард Данилов.</w:t>
      </w:r>
    </w:p>
    <w:p w14:paraId="3CD42C99" w14:textId="33B36599" w:rsidR="006A69CD" w:rsidRPr="00A878E7" w:rsidRDefault="00A878E7" w:rsidP="00A878E7">
      <w:pPr>
        <w:spacing w:line="240" w:lineRule="auto"/>
        <w:ind w:firstLine="720"/>
        <w:jc w:val="both"/>
        <w:rPr>
          <w:rFonts w:ascii="Century Gothic" w:hAnsi="Century Gothic"/>
          <w:color w:val="0070C0"/>
          <w:szCs w:val="28"/>
        </w:rPr>
      </w:pPr>
      <w:r w:rsidRPr="00A878E7">
        <w:rPr>
          <w:rFonts w:ascii="Century Gothic" w:hAnsi="Century Gothic"/>
          <w:sz w:val="24"/>
          <w:szCs w:val="28"/>
          <w:lang w:val="ru-RU"/>
        </w:rPr>
        <w:t xml:space="preserve">Спикеры ответили на вопросы зрителей, присланные в чат трансляции, и договорились о новой встрече через год, на XV-ой юбилейной конференции по оценочной деятельности. Запись трансляции доступна на канале </w:t>
      </w:r>
      <w:hyperlink r:id="rId8" w:history="1">
        <w:r w:rsidRPr="000C4172">
          <w:rPr>
            <w:rStyle w:val="aa"/>
            <w:rFonts w:ascii="Century Gothic" w:hAnsi="Century Gothic"/>
            <w:color w:val="0070C0"/>
            <w:sz w:val="24"/>
            <w:szCs w:val="24"/>
          </w:rPr>
          <w:t>Группы SRG</w:t>
        </w:r>
      </w:hyperlink>
      <w:r w:rsidRPr="00A878E7">
        <w:rPr>
          <w:rFonts w:ascii="Century Gothic" w:hAnsi="Century Gothic"/>
          <w:sz w:val="24"/>
          <w:szCs w:val="28"/>
          <w:lang w:val="ru-RU"/>
        </w:rPr>
        <w:t xml:space="preserve">.  </w:t>
      </w:r>
    </w:p>
    <w:p w14:paraId="278E160B" w14:textId="77777777" w:rsidR="006A69CD" w:rsidRDefault="006A69CD" w:rsidP="006A69CD">
      <w:pPr>
        <w:spacing w:line="240" w:lineRule="auto"/>
        <w:ind w:firstLine="720"/>
        <w:jc w:val="both"/>
        <w:rPr>
          <w:rFonts w:ascii="Century Gothic" w:hAnsi="Century Gothic"/>
          <w:color w:val="0070C0"/>
          <w:szCs w:val="28"/>
        </w:rPr>
      </w:pPr>
    </w:p>
    <w:p w14:paraId="16596D49" w14:textId="4576C6A0" w:rsidR="006A69CD" w:rsidRPr="006A69CD" w:rsidRDefault="006A69CD" w:rsidP="006A69CD">
      <w:pPr>
        <w:spacing w:line="240" w:lineRule="auto"/>
        <w:ind w:firstLine="720"/>
        <w:jc w:val="right"/>
        <w:rPr>
          <w:rFonts w:ascii="Century Gothic" w:hAnsi="Century Gothic"/>
          <w:i/>
          <w:szCs w:val="28"/>
          <w:lang w:val="ru-RU"/>
        </w:rPr>
      </w:pPr>
      <w:r w:rsidRPr="006A69CD">
        <w:rPr>
          <w:rFonts w:ascii="Century Gothic" w:hAnsi="Century Gothic"/>
          <w:i/>
          <w:szCs w:val="28"/>
        </w:rPr>
        <w:t>Пресс-</w:t>
      </w:r>
      <w:r>
        <w:rPr>
          <w:rFonts w:ascii="Century Gothic" w:hAnsi="Century Gothic"/>
          <w:i/>
          <w:szCs w:val="28"/>
          <w:lang w:val="ru-RU"/>
        </w:rPr>
        <w:t>центр</w:t>
      </w:r>
    </w:p>
    <w:p w14:paraId="7E8E3C5F" w14:textId="34FC370C" w:rsidR="006A69CD" w:rsidRPr="00A878E7" w:rsidRDefault="00C15ED7" w:rsidP="006A69CD">
      <w:pPr>
        <w:spacing w:line="240" w:lineRule="auto"/>
        <w:ind w:firstLine="720"/>
        <w:jc w:val="right"/>
        <w:rPr>
          <w:rFonts w:ascii="Century Gothic" w:hAnsi="Century Gothic"/>
          <w:i/>
          <w:color w:val="0070C0"/>
          <w:szCs w:val="28"/>
        </w:rPr>
      </w:pPr>
      <w:hyperlink r:id="rId9" w:history="1">
        <w:r w:rsidR="006A69CD" w:rsidRPr="00A878E7">
          <w:rPr>
            <w:rStyle w:val="aa"/>
            <w:rFonts w:ascii="Century Gothic" w:hAnsi="Century Gothic"/>
            <w:i/>
            <w:color w:val="0070C0"/>
            <w:szCs w:val="28"/>
          </w:rPr>
          <w:t>info@banki-ocenka.ru</w:t>
        </w:r>
      </w:hyperlink>
    </w:p>
    <w:p w14:paraId="4AD8A64B" w14:textId="411F3A66" w:rsidR="006A69CD" w:rsidRPr="00A878E7" w:rsidRDefault="006A69CD" w:rsidP="006A69CD">
      <w:pPr>
        <w:spacing w:line="240" w:lineRule="auto"/>
        <w:ind w:firstLine="720"/>
        <w:jc w:val="right"/>
        <w:rPr>
          <w:rFonts w:ascii="Century Gothic" w:hAnsi="Century Gothic"/>
          <w:i/>
          <w:szCs w:val="28"/>
          <w:lang w:val="ru-RU"/>
        </w:rPr>
      </w:pPr>
      <w:r w:rsidRPr="00A878E7">
        <w:rPr>
          <w:rFonts w:ascii="Century Gothic" w:hAnsi="Century Gothic"/>
          <w:i/>
          <w:szCs w:val="28"/>
          <w:lang w:val="ru-RU"/>
        </w:rPr>
        <w:t>8 (495) 120-52-02 доб. 2019</w:t>
      </w:r>
    </w:p>
    <w:sectPr w:rsidR="006A69CD" w:rsidRPr="00A878E7" w:rsidSect="00A878E7">
      <w:headerReference w:type="default" r:id="rId10"/>
      <w:pgSz w:w="11909" w:h="16834"/>
      <w:pgMar w:top="2835" w:right="1440" w:bottom="851"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E35C4" w14:textId="77777777" w:rsidR="00C15ED7" w:rsidRDefault="00C15ED7" w:rsidP="006A69CD">
      <w:pPr>
        <w:spacing w:line="240" w:lineRule="auto"/>
      </w:pPr>
      <w:r>
        <w:separator/>
      </w:r>
    </w:p>
  </w:endnote>
  <w:endnote w:type="continuationSeparator" w:id="0">
    <w:p w14:paraId="6CEA98DF" w14:textId="77777777" w:rsidR="00C15ED7" w:rsidRDefault="00C15ED7" w:rsidP="006A6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970B6" w14:textId="77777777" w:rsidR="00C15ED7" w:rsidRDefault="00C15ED7" w:rsidP="006A69CD">
      <w:pPr>
        <w:spacing w:line="240" w:lineRule="auto"/>
      </w:pPr>
      <w:r>
        <w:separator/>
      </w:r>
    </w:p>
  </w:footnote>
  <w:footnote w:type="continuationSeparator" w:id="0">
    <w:p w14:paraId="7850F8C5" w14:textId="77777777" w:rsidR="00C15ED7" w:rsidRDefault="00C15ED7" w:rsidP="006A69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4FBD" w14:textId="42BFE6DE" w:rsidR="006A69CD" w:rsidRDefault="006A69CD" w:rsidP="006A69CD">
    <w:pPr>
      <w:pStyle w:val="a5"/>
      <w:ind w:left="-1418"/>
    </w:pPr>
    <w:r>
      <w:rPr>
        <w:noProof/>
        <w:lang w:val="ru-RU"/>
      </w:rPr>
      <w:drawing>
        <wp:inline distT="0" distB="0" distL="0" distR="0" wp14:anchorId="5708A6CB" wp14:editId="29669862">
          <wp:extent cx="7538559" cy="1558810"/>
          <wp:effectExtent l="0" t="0" r="5715"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аннеры для рассылки2_Страница_1.png"/>
                  <pic:cNvPicPr/>
                </pic:nvPicPr>
                <pic:blipFill>
                  <a:blip r:embed="rId1">
                    <a:extLst>
                      <a:ext uri="{28A0092B-C50C-407E-A947-70E740481C1C}">
                        <a14:useLocalDpi xmlns:a14="http://schemas.microsoft.com/office/drawing/2010/main" val="0"/>
                      </a:ext>
                    </a:extLst>
                  </a:blip>
                  <a:stretch>
                    <a:fillRect/>
                  </a:stretch>
                </pic:blipFill>
                <pic:spPr>
                  <a:xfrm>
                    <a:off x="0" y="0"/>
                    <a:ext cx="7669095" cy="15858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2565A"/>
    <w:multiLevelType w:val="hybridMultilevel"/>
    <w:tmpl w:val="17988F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451CDA"/>
    <w:multiLevelType w:val="hybridMultilevel"/>
    <w:tmpl w:val="1CA41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4C"/>
    <w:rsid w:val="000034E3"/>
    <w:rsid w:val="000474A4"/>
    <w:rsid w:val="000C4172"/>
    <w:rsid w:val="003A53FD"/>
    <w:rsid w:val="00527F32"/>
    <w:rsid w:val="006A69CD"/>
    <w:rsid w:val="006B4363"/>
    <w:rsid w:val="00724D2C"/>
    <w:rsid w:val="008F3CB8"/>
    <w:rsid w:val="00A32204"/>
    <w:rsid w:val="00A529B0"/>
    <w:rsid w:val="00A623D0"/>
    <w:rsid w:val="00A878E7"/>
    <w:rsid w:val="00C15ED7"/>
    <w:rsid w:val="00E6042A"/>
    <w:rsid w:val="00EA074C"/>
    <w:rsid w:val="00F31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F3234"/>
  <w15:docId w15:val="{F3C8E47D-BE81-4FAC-91E6-F2181430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6A69CD"/>
    <w:pPr>
      <w:tabs>
        <w:tab w:val="center" w:pos="4677"/>
        <w:tab w:val="right" w:pos="9355"/>
      </w:tabs>
      <w:spacing w:line="240" w:lineRule="auto"/>
    </w:pPr>
  </w:style>
  <w:style w:type="character" w:customStyle="1" w:styleId="a6">
    <w:name w:val="Верхний колонтитул Знак"/>
    <w:basedOn w:val="a0"/>
    <w:link w:val="a5"/>
    <w:uiPriority w:val="99"/>
    <w:rsid w:val="006A69CD"/>
  </w:style>
  <w:style w:type="paragraph" w:styleId="a7">
    <w:name w:val="footer"/>
    <w:basedOn w:val="a"/>
    <w:link w:val="a8"/>
    <w:uiPriority w:val="99"/>
    <w:unhideWhenUsed/>
    <w:rsid w:val="006A69CD"/>
    <w:pPr>
      <w:tabs>
        <w:tab w:val="center" w:pos="4677"/>
        <w:tab w:val="right" w:pos="9355"/>
      </w:tabs>
      <w:spacing w:line="240" w:lineRule="auto"/>
    </w:pPr>
  </w:style>
  <w:style w:type="character" w:customStyle="1" w:styleId="a8">
    <w:name w:val="Нижний колонтитул Знак"/>
    <w:basedOn w:val="a0"/>
    <w:link w:val="a7"/>
    <w:uiPriority w:val="99"/>
    <w:rsid w:val="006A69CD"/>
  </w:style>
  <w:style w:type="paragraph" w:styleId="a9">
    <w:name w:val="List Paragraph"/>
    <w:basedOn w:val="a"/>
    <w:uiPriority w:val="34"/>
    <w:qFormat/>
    <w:rsid w:val="006A69CD"/>
    <w:pPr>
      <w:ind w:left="720"/>
      <w:contextualSpacing/>
    </w:pPr>
  </w:style>
  <w:style w:type="character" w:styleId="aa">
    <w:name w:val="Hyperlink"/>
    <w:basedOn w:val="a0"/>
    <w:uiPriority w:val="99"/>
    <w:unhideWhenUsed/>
    <w:rsid w:val="006A69CD"/>
    <w:rPr>
      <w:color w:val="0000FF" w:themeColor="hyperlink"/>
      <w:u w:val="single"/>
    </w:rPr>
  </w:style>
  <w:style w:type="character" w:customStyle="1" w:styleId="UnresolvedMention">
    <w:name w:val="Unresolved Mention"/>
    <w:basedOn w:val="a0"/>
    <w:uiPriority w:val="99"/>
    <w:semiHidden/>
    <w:unhideWhenUsed/>
    <w:rsid w:val="006A69CD"/>
    <w:rPr>
      <w:color w:val="605E5C"/>
      <w:shd w:val="clear" w:color="auto" w:fill="E1DFDD"/>
    </w:rPr>
  </w:style>
  <w:style w:type="character" w:styleId="ab">
    <w:name w:val="FollowedHyperlink"/>
    <w:basedOn w:val="a0"/>
    <w:uiPriority w:val="99"/>
    <w:semiHidden/>
    <w:unhideWhenUsed/>
    <w:rsid w:val="006A69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229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ube.ru/video/4cf04dea21d5d919ee99873701b84adb/" TargetMode="External"/><Relationship Id="rId3" Type="http://schemas.openxmlformats.org/officeDocument/2006/relationships/settings" Target="settings.xml"/><Relationship Id="rId7" Type="http://schemas.openxmlformats.org/officeDocument/2006/relationships/hyperlink" Target="https://srgroup.ru?utm_source=srorao&amp;utm_medium=article&amp;utm_campaign=mcod24&amp;utm_content=srorao_post_release&amp;utm_term=post_relea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banki-ocenka.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2024-10-21T05:47:00Z</dcterms:created>
  <dcterms:modified xsi:type="dcterms:W3CDTF">2024-10-21T05:47:00Z</dcterms:modified>
</cp:coreProperties>
</file>