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F5DAF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  <w:bookmarkStart w:id="0" w:name="_GoBack"/>
      <w:bookmarkEnd w:id="0"/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2C556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sz w:val="22"/>
          <w:szCs w:val="22"/>
        </w:rPr>
        <w:t xml:space="preserve"> </w:t>
      </w:r>
      <w:r w:rsidR="00EF5DAF">
        <w:rPr>
          <w:b/>
          <w:bCs/>
          <w:sz w:val="22"/>
          <w:szCs w:val="22"/>
        </w:rPr>
        <w:t>27</w:t>
      </w:r>
      <w:r w:rsidR="000D6A01" w:rsidRPr="00663612">
        <w:rPr>
          <w:b/>
          <w:bCs/>
          <w:sz w:val="22"/>
          <w:szCs w:val="22"/>
        </w:rPr>
        <w:t xml:space="preserve"> </w:t>
      </w:r>
      <w:r w:rsidR="00A024D7" w:rsidRPr="00663612">
        <w:rPr>
          <w:b/>
          <w:bCs/>
          <w:sz w:val="22"/>
          <w:szCs w:val="22"/>
        </w:rPr>
        <w:t>марта</w:t>
      </w:r>
      <w:r w:rsidR="00E32317" w:rsidRPr="00663612">
        <w:rPr>
          <w:b/>
          <w:bCs/>
          <w:sz w:val="22"/>
          <w:szCs w:val="22"/>
        </w:rPr>
        <w:t xml:space="preserve"> 2025</w:t>
      </w:r>
      <w:r w:rsidR="00A74C1E" w:rsidRPr="00663612">
        <w:rPr>
          <w:b/>
          <w:bCs/>
          <w:sz w:val="22"/>
          <w:szCs w:val="22"/>
        </w:rPr>
        <w:t xml:space="preserve"> года                        </w:t>
      </w:r>
    </w:p>
    <w:p w:rsidR="00777F42" w:rsidRPr="00663612" w:rsidRDefault="00777F42" w:rsidP="00777F42">
      <w:pPr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Pr="00663612">
        <w:rPr>
          <w:sz w:val="22"/>
          <w:szCs w:val="22"/>
        </w:rPr>
        <w:t>: г</w:t>
      </w:r>
      <w:r w:rsidRPr="00663612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663612" w:rsidRDefault="00777F42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63612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663612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663612" w:rsidRPr="00663612" w:rsidRDefault="00EF5DAF" w:rsidP="00EF5DAF">
      <w:pPr>
        <w:pStyle w:val="Standard"/>
        <w:tabs>
          <w:tab w:val="left" w:pos="990"/>
        </w:tabs>
        <w:ind w:left="720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1.</w:t>
      </w:r>
      <w:r w:rsidR="00663612" w:rsidRPr="00663612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663612" w:rsidRPr="00663612">
        <w:rPr>
          <w:sz w:val="22"/>
          <w:szCs w:val="22"/>
        </w:rPr>
        <w:t>Саморегулируемой организации Региональной ассоциации оценщиков по личному заявлению</w:t>
      </w:r>
    </w:p>
    <w:p w:rsidR="00663612" w:rsidRPr="00663612" w:rsidRDefault="00663612" w:rsidP="00663612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663612" w:rsidRPr="00663612" w:rsidRDefault="00663612" w:rsidP="0066361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663612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>второму</w:t>
      </w:r>
      <w:r w:rsidRPr="00663612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663612" w:rsidRPr="00663612" w:rsidRDefault="00663612" w:rsidP="0066361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663612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</w:t>
      </w:r>
      <w:r w:rsidRPr="00663612">
        <w:rPr>
          <w:iCs/>
          <w:sz w:val="22"/>
          <w:szCs w:val="22"/>
        </w:rPr>
        <w:t>Председатель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 Совета Ассоциации </w:t>
      </w:r>
      <w:r w:rsidRPr="00663612">
        <w:rPr>
          <w:sz w:val="22"/>
          <w:szCs w:val="22"/>
        </w:rPr>
        <w:t>Кулаков К.Ю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>.,</w:t>
      </w:r>
      <w:r w:rsidRPr="00663612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63612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Pr="00663612">
        <w:rPr>
          <w:iCs/>
          <w:sz w:val="22"/>
          <w:szCs w:val="22"/>
        </w:rPr>
        <w:t>Председатель</w:t>
      </w:r>
      <w:r w:rsidRPr="00663612">
        <w:rPr>
          <w:color w:val="000000"/>
          <w:sz w:val="22"/>
          <w:szCs w:val="22"/>
          <w:lang w:eastAsia="hi-IN" w:bidi="hi-IN"/>
        </w:rPr>
        <w:t xml:space="preserve">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663612">
        <w:rPr>
          <w:sz w:val="22"/>
          <w:szCs w:val="22"/>
        </w:rPr>
        <w:t>Кулаков К.Ю</w:t>
      </w:r>
      <w:r w:rsidRPr="00663612">
        <w:rPr>
          <w:color w:val="000000"/>
          <w:sz w:val="22"/>
          <w:szCs w:val="22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663612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3612" w:rsidRPr="00663612" w:rsidTr="00576E1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3612" w:rsidRPr="00663612" w:rsidTr="00576E19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EF5DAF" w:rsidP="00576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EF5DAF" w:rsidP="00576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Касимов Денис Валентинович</w:t>
            </w:r>
          </w:p>
        </w:tc>
      </w:tr>
    </w:tbl>
    <w:p w:rsidR="00663612" w:rsidRPr="00663612" w:rsidRDefault="00663612" w:rsidP="00663612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663612" w:rsidRPr="00663612" w:rsidRDefault="00663612" w:rsidP="0066361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417FF1" w:rsidRPr="0066361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DE" w:rsidRDefault="007411DE">
      <w:r>
        <w:separator/>
      </w:r>
    </w:p>
  </w:endnote>
  <w:endnote w:type="continuationSeparator" w:id="0">
    <w:p w:rsidR="007411DE" w:rsidRDefault="0074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DE" w:rsidRDefault="007411DE">
      <w:r>
        <w:rPr>
          <w:color w:val="000000"/>
        </w:rPr>
        <w:separator/>
      </w:r>
    </w:p>
  </w:footnote>
  <w:footnote w:type="continuationSeparator" w:id="0">
    <w:p w:rsidR="007411DE" w:rsidRDefault="0074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411DE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092E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5DAF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09C8-50A1-4AB5-AAB5-948E30D4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2025-03-27T07:56:00Z</cp:lastPrinted>
  <dcterms:created xsi:type="dcterms:W3CDTF">2025-03-27T07:56:00Z</dcterms:created>
  <dcterms:modified xsi:type="dcterms:W3CDTF">2025-03-27T07:56:00Z</dcterms:modified>
</cp:coreProperties>
</file>