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ED1" w:rsidRDefault="00A96ED1" w:rsidP="00A96ED1">
      <w:pPr>
        <w:pStyle w:val="ConsPlusNormal"/>
        <w:ind w:firstLine="540"/>
        <w:jc w:val="right"/>
      </w:pPr>
      <w:r>
        <w:t>Утверждено</w:t>
      </w:r>
    </w:p>
    <w:p w:rsidR="00A96ED1" w:rsidRDefault="00A96ED1" w:rsidP="00A96ED1">
      <w:pPr>
        <w:pStyle w:val="ConsPlusNormal"/>
        <w:ind w:firstLine="540"/>
        <w:jc w:val="right"/>
      </w:pPr>
      <w:r>
        <w:t>Решением Совета Ассоциации</w:t>
      </w:r>
    </w:p>
    <w:p w:rsidR="00A96ED1" w:rsidRDefault="00325EC8" w:rsidP="00A96ED1">
      <w:pPr>
        <w:pStyle w:val="ConsPlusNormal"/>
        <w:ind w:firstLine="540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40ED5C" wp14:editId="6FDECD31">
            <wp:simplePos x="0" y="0"/>
            <wp:positionH relativeFrom="column">
              <wp:posOffset>3657600</wp:posOffset>
            </wp:positionH>
            <wp:positionV relativeFrom="paragraph">
              <wp:posOffset>5080</wp:posOffset>
            </wp:positionV>
            <wp:extent cx="2059200" cy="1360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6ED1">
        <w:t>Протокол от 07.12.2022</w:t>
      </w:r>
    </w:p>
    <w:p w:rsidR="00A96ED1" w:rsidRDefault="00A96ED1" w:rsidP="00A96ED1">
      <w:pPr>
        <w:pStyle w:val="ConsPlusNormal"/>
        <w:ind w:firstLine="540"/>
        <w:jc w:val="right"/>
      </w:pPr>
      <w:r>
        <w:t>Президент СРО РАО</w:t>
      </w:r>
    </w:p>
    <w:p w:rsidR="00A96ED1" w:rsidRDefault="00A96ED1" w:rsidP="00A96ED1">
      <w:pPr>
        <w:pStyle w:val="ConsPlusNormal"/>
        <w:ind w:firstLine="540"/>
        <w:jc w:val="right"/>
      </w:pPr>
    </w:p>
    <w:p w:rsidR="00325EC8" w:rsidRDefault="00325EC8" w:rsidP="00A96ED1">
      <w:pPr>
        <w:pStyle w:val="ConsPlusNormal"/>
        <w:ind w:firstLine="540"/>
        <w:jc w:val="right"/>
      </w:pPr>
      <w:bookmarkStart w:id="0" w:name="_GoBack"/>
      <w:bookmarkEnd w:id="0"/>
    </w:p>
    <w:p w:rsidR="00F24C24" w:rsidRPr="00F24C24" w:rsidRDefault="00325EC8" w:rsidP="00325EC8">
      <w:pPr>
        <w:pStyle w:val="ConsPlusNormal"/>
        <w:ind w:firstLine="540"/>
        <w:jc w:val="center"/>
      </w:pPr>
      <w:r>
        <w:t xml:space="preserve">                                                                                              _____</w:t>
      </w:r>
      <w:r w:rsidR="00A96ED1">
        <w:t>______________К.Ю. Кулаков</w:t>
      </w:r>
    </w:p>
    <w:p w:rsidR="00F24C24" w:rsidRPr="00F24C24" w:rsidRDefault="00F24C24" w:rsidP="00F24C24">
      <w:pPr>
        <w:pStyle w:val="ConsPlusNormal"/>
        <w:ind w:firstLine="540"/>
        <w:jc w:val="both"/>
      </w:pPr>
    </w:p>
    <w:p w:rsidR="00A96ED1" w:rsidRDefault="00A96ED1" w:rsidP="00F24C24">
      <w:pPr>
        <w:pStyle w:val="ConsPlusNormal"/>
        <w:ind w:firstLine="540"/>
        <w:jc w:val="center"/>
      </w:pPr>
    </w:p>
    <w:p w:rsidR="00F24C24" w:rsidRPr="00F24C24" w:rsidRDefault="00F24C24" w:rsidP="00F24C24">
      <w:pPr>
        <w:pStyle w:val="ConsPlusNormal"/>
        <w:ind w:firstLine="540"/>
        <w:jc w:val="center"/>
      </w:pPr>
      <w:r w:rsidRPr="00F24C24">
        <w:t>СТАНДАРТ 005</w:t>
      </w:r>
    </w:p>
    <w:p w:rsidR="00F24C24" w:rsidRPr="00F24C24" w:rsidRDefault="00F24C24" w:rsidP="00F24C24">
      <w:pPr>
        <w:pStyle w:val="ConsPlusNormal"/>
        <w:ind w:firstLine="540"/>
        <w:jc w:val="center"/>
      </w:pPr>
      <w:r w:rsidRPr="00F24C24">
        <w:t>Саморегулируемой организации</w:t>
      </w:r>
    </w:p>
    <w:p w:rsidR="00F24C24" w:rsidRPr="00F24C24" w:rsidRDefault="00F24C24" w:rsidP="00F24C24">
      <w:pPr>
        <w:pStyle w:val="ConsPlusNormal"/>
        <w:ind w:firstLine="540"/>
        <w:jc w:val="center"/>
      </w:pPr>
      <w:r w:rsidRPr="00F24C24">
        <w:t>Региональная ассоциация оценщиков</w:t>
      </w:r>
    </w:p>
    <w:p w:rsidR="00F24C24" w:rsidRPr="00F24C24" w:rsidRDefault="00F24C24" w:rsidP="00F24C24">
      <w:pPr>
        <w:pStyle w:val="ConsPlusNormal"/>
        <w:ind w:firstLine="540"/>
        <w:jc w:val="center"/>
      </w:pPr>
      <w:r w:rsidRPr="00F24C24">
        <w:t>ПОДХОДЫ И МЕТОДЫ ОЦЕНКИ</w:t>
      </w:r>
    </w:p>
    <w:p w:rsidR="00F24C24" w:rsidRPr="00F24C24" w:rsidRDefault="00F24C24" w:rsidP="00F24C24">
      <w:pPr>
        <w:pStyle w:val="ConsPlusNormal"/>
        <w:contextualSpacing/>
        <w:jc w:val="center"/>
      </w:pPr>
    </w:p>
    <w:p w:rsidR="00F24C24" w:rsidRPr="00F24C24" w:rsidRDefault="00F24C24" w:rsidP="00F24C2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</w:rPr>
      </w:pPr>
      <w:r w:rsidRPr="00F24C24">
        <w:rPr>
          <w:rFonts w:ascii="Times New Roman" w:hAnsi="Times New Roman" w:cs="Times New Roman"/>
          <w:b w:val="0"/>
        </w:rPr>
        <w:t>I. Подходы к оценке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1. При проведении оценки используются сравнительный, доходный и затратный подходы. При применении каждого из подходов к оценке используются различные методы оценки. Оценщик может применять методы оценки, не указанные в федеральных стандартах оценки, с целью получения наиболее достоверных результатов оценки.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bookmarkStart w:id="1" w:name="Par260"/>
      <w:bookmarkEnd w:id="1"/>
      <w:r w:rsidRPr="00F24C24">
        <w:t>2. В процессе оценки оценщик рассматривает возможность применения всех подходов к оценке, в том числе для подтверждения выводов, полученных при применении других подходов. При выборе подходов и методов оценки оценщику необходимо учитывать специфику объекта оценки, цели оценки, вид стоимости, достаточность и достоверность исходной информации, допущения и ограничения оценки. Ни один из подходов и методов оценки не является универсальным, применимым во всех случаях оценки. В то же время оценщик может использовать один подход и метод оценки, если применение данного подхода и метода оценки приводит к наиболее достоверному результату оценки с учетом доступной информации, допущений и ограничений проводимой оценки.</w:t>
      </w:r>
    </w:p>
    <w:p w:rsidR="00F24C24" w:rsidRPr="00EB3FDB" w:rsidRDefault="00F24C24" w:rsidP="00F24C24">
      <w:pPr>
        <w:pStyle w:val="ConsPlusNormal"/>
        <w:ind w:firstLine="540"/>
        <w:contextualSpacing/>
        <w:jc w:val="both"/>
      </w:pPr>
      <w:bookmarkStart w:id="2" w:name="Par261"/>
      <w:bookmarkEnd w:id="2"/>
      <w:r w:rsidRPr="00F24C24">
        <w:t xml:space="preserve">3. При </w:t>
      </w:r>
      <w:r w:rsidRPr="00EB3FDB">
        <w:t>применении нескольких подходов и методов оценщик использует процедуру согласования их результатов. В случае существенных расхождений результатов подходов и методов оценки оценщик анализирует возможные причины расхождений, устанавливает подходы и методы, позволяющие получить наиболее достоверные результаты с учетом факторов, указанных в пункте 2 настоящего стандарта оценки. Не следует применять среднюю арифметическую величину или иные математические правила взвешивания в случае существенных расхождений промежуточных результатов методов и подходов оценки без такого анализа. В результате анализа оценщик может обоснованно выбрать один из полученных результатов, полученных при использовании методов и подходов, для определения итоговой стоимости объекта оценки.</w:t>
      </w:r>
    </w:p>
    <w:p w:rsidR="00F24C24" w:rsidRPr="00EB3FDB" w:rsidRDefault="00F24C24" w:rsidP="00F24C24">
      <w:pPr>
        <w:pStyle w:val="ConsPlusNormal"/>
        <w:ind w:firstLine="540"/>
        <w:contextualSpacing/>
        <w:jc w:val="both"/>
      </w:pPr>
    </w:p>
    <w:p w:rsidR="00F24C24" w:rsidRPr="00F24C24" w:rsidRDefault="00F24C24" w:rsidP="00F24C2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</w:rPr>
      </w:pPr>
      <w:r w:rsidRPr="00F24C24">
        <w:rPr>
          <w:rFonts w:ascii="Times New Roman" w:hAnsi="Times New Roman" w:cs="Times New Roman"/>
          <w:b w:val="0"/>
        </w:rPr>
        <w:t>II. Сравнительный подход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4. Сравнительный подход представляет собой совокупность методов оценки, основанных на сравнении объекта оценки с идентичными или аналогичными объектами (аналогами). Сравнительный подход основан на принципах ценового равновесия и замещения.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5. Рассматривая возможность и целесообразность применения сравнительного подхода, оценщику необходимо учитывать объем и качество информации о сделках с объектами, аналогичными объекту оценки, в частности: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1) активность рынка (значимость сравнительного подхода тем выше, чем больше сделок с аналогами осуществляется на рынке);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2) доступность информации о сделках (значимость сравнительного подхода тем выше, чем надежнее информация о сделках с аналогами);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 xml:space="preserve">3) актуальность рыночной ценовой информации (значимость сравнительного подхода тем выше, чем меньше удалены во времени сделки с аналогами от даты оценки и чем стабильнее </w:t>
      </w:r>
      <w:r w:rsidRPr="00F24C24">
        <w:lastRenderedPageBreak/>
        <w:t>рыночные условия были в этом интервале времени);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4) степень сопоставимости аналогов с объектом оценки (значимость сравнительного подхода тем выше, чем ближе аналоги по своим существенным характеристикам к объекту оценки и чем меньше корректировок требуется вносить в цены аналогов).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6. Методы сравнительного подхода основаны на использовании ценовой информации об аналогах (цены сделок и цены предложений). При этом оценщик может использовать ценовую информацию об объекте оценки (цены сделок, цена обязывающего предложения, не допускающего отказа от сделки).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7. Если сведения о совершенных сделках отсутствуют или их недостаточно для определения стоимости объекта оценки, оценщик может использовать цены предложений. Цена предложения представляет собой мнение одной из сторон потенциальной сделки, заинтересованной в более высокой цене, поэтому при проведении анализа цен предложений по аналогам оценщику следует учитывать: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1) возможную разницу между ценой сделки и ценой предложения;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2) период экспозиции аналога на рынке и изменение его цены за этот период (при наличии информации);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3) соответствие цены аналога его характеристикам в сопоставлении с другими предложениями на рынке, избегая завышенных или заниженных цен предложения.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Поскольку сведения о предложениях не остаются неизменными, оценщику необходимо их документировать, чтобы обеспечить подтверждение этих данных в будущем.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8. Сравнение объекта оценки с аналогами может проводиться с использованием различных количественных параметров измерения объекта оценки, представляющих собой единицы сравнения. Например, единицами сравнения являются: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1) цена (или арендная ставка) за единицу площади или иную единицу измерения при оценке объектов недвижимости;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2) мультипликаторы (коэффициенты, отражающие соотношение между ценой и показателями деятельности организации) при оценке бизнеса;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3) цена на единицу производительности или мощности, массы, габаритных размеров при оценке машин и оборудования.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9. Основные этапы сравнительного подхода: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1) определение единиц сравнения, характерных для рынка объекта оценки;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2) выбор наиболее сопоставимых аналогов и расчет единиц сравнения для каждого из них;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3) сравнительный анализ количественных и качественных характеристик (сходства и различий) аналогов и объекта оценки;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4) внесение в значения единиц сравнения корректировок для устранения различий между объектом оценки и аналогами (при необходимости);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 xml:space="preserve">5) согласование скорректированных значений единиц сравнения или полученных на их основе показателей стоимости объекта оценки. Согласование проводится с учетом </w:t>
      </w:r>
      <w:r w:rsidRPr="00EB3FDB">
        <w:t xml:space="preserve">положений пункта 3 настоящего </w:t>
      </w:r>
      <w:r w:rsidRPr="00F24C24">
        <w:t>стандарта оценки. При этом оценщик может обоснованно выбрать в качестве результата сравнительного подхода показатель стоимости, полученный на основе одного аналога или одной единицы сравнения, либо отказаться от применения показателя, полученного на основе какого-либо аналога или единицы сравнения.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10. В рамках сравнительного подхода при выборе аналогов следует: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1) учитывать достаточность и достоверность информации по каждому аналогу;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2) использовать при проведении анализа наиболее сопоставимые аналоги для того, чтобы вносить меньше корректировок;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3) учитывать, что сделки, совершенные ближе к дате оценки, более репрезентативны, чем сделки, совершенные в более ранний срок, особенно на нестабильных рынках;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4) рассматривать сделки, совершенные между независимыми сторонами;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5) учитывать, что ценовая информация по фактическим сделкам является лучшим основанием для определения стоимости, чем предложения к совершению сделки, если условия сделки соответствуют предпосылкам рыночной стоимости.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</w:p>
    <w:p w:rsidR="00F24C24" w:rsidRPr="00F24C24" w:rsidRDefault="00F24C24" w:rsidP="00F24C2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</w:rPr>
      </w:pPr>
      <w:r w:rsidRPr="00F24C24">
        <w:rPr>
          <w:rFonts w:ascii="Times New Roman" w:hAnsi="Times New Roman" w:cs="Times New Roman"/>
          <w:b w:val="0"/>
        </w:rPr>
        <w:t>III. Доходный подход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11. Доходный подход представляет собой совокупность методов оценки, основанных на определении текущей стоимости ожидаемых будущих денежных потоков от использования объекта оценки. Доходный подход основан на принципе ожидания выгод.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12. Рассматривая возможность и целесообразность применения доходного подхода, оценщику необходимо учитывать: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1) способность объекта приносить доход (значимость доходного подхода выше, если получение дохода от использования объекта соответствует целям приобретения объекта участниками рынка);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2) степень неопределенности будущих доходов (значимость доходного подхода тем ниже, чем выше неопределенность, связанная с суммами и сроками поступления будущих доходов от использования объекта).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13. В рамках доходного подхода применяются различные методы, основанные на прямой капитализации или дисконтировании будущих денежных потоков (доходов).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14. Определение стоимости объекта оценки при использовании метода прямой капитализации осуществляется путем деления дохода за один период (обычно год) на ставку капитализации.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15. В методе дисконтированных денежных потоков будущие денежные потоки по объекту оценки приводятся к текущей дате при помощи ставки дисконтирования, отражающей ожидаемую участниками рынка, или конкретными участниками сделки, или конкретным пользователем (в соответствии с определяемым видом стоимости) ставку доходности (норму прибыли) на инвестиции с сопоставимым риском.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16. Основные этапы доходного подхода: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 xml:space="preserve">1) выбор вида денежного потока с учетом особенностей объекта оценки, например номинальный или реальный денежный поток, </w:t>
      </w:r>
      <w:proofErr w:type="spellStart"/>
      <w:r w:rsidRPr="00F24C24">
        <w:t>доналоговый</w:t>
      </w:r>
      <w:proofErr w:type="spellEnd"/>
      <w:r w:rsidRPr="00F24C24">
        <w:t xml:space="preserve"> или </w:t>
      </w:r>
      <w:proofErr w:type="spellStart"/>
      <w:r w:rsidRPr="00F24C24">
        <w:t>посленалоговый</w:t>
      </w:r>
      <w:proofErr w:type="spellEnd"/>
      <w:r w:rsidRPr="00F24C24">
        <w:t xml:space="preserve"> денежный поток, денежный поток с учетом (или без учета) заемных средств на собственный или инвестированный (общий) капитал;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2) определение денежного потока.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В методе прямой капитализации денежный поток определяется за один период.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В методе дисконтирования денежных потоков осуществляется: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определение срока прогнозирования денежного потока (продолжительности прогнозного периода);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прогноз денежного потока в течение срока прогнозирования;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 xml:space="preserve">определение необходимости применения </w:t>
      </w:r>
      <w:proofErr w:type="spellStart"/>
      <w:r w:rsidRPr="00F24C24">
        <w:t>постпрогнозной</w:t>
      </w:r>
      <w:proofErr w:type="spellEnd"/>
      <w:r w:rsidRPr="00F24C24">
        <w:t xml:space="preserve"> (терминальной, остаточной) стоимости для объекта оценки по окончании срока прогнозирования денежных потоков и расчет соответствующей </w:t>
      </w:r>
      <w:proofErr w:type="spellStart"/>
      <w:r w:rsidRPr="00F24C24">
        <w:t>постпрогнозной</w:t>
      </w:r>
      <w:proofErr w:type="spellEnd"/>
      <w:r w:rsidRPr="00F24C24">
        <w:t xml:space="preserve"> стоимости с учетом особенностей объекта оценки;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3) определение ставки дисконтирования (ставки капитализации), соответствующей денежному потоку;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 xml:space="preserve">4) приведение прогнозных денежных потоков, в том числе </w:t>
      </w:r>
      <w:proofErr w:type="spellStart"/>
      <w:r w:rsidRPr="00F24C24">
        <w:t>постпрогнозной</w:t>
      </w:r>
      <w:proofErr w:type="spellEnd"/>
      <w:r w:rsidRPr="00F24C24">
        <w:t xml:space="preserve"> стоимости (при наличии), к текущей стоимости по ставке дисконтирования или капитализация денежного потока по ставке капитализации.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17. На выбор вида денежного потока влияет специфика объекта оценки и сложившаяся практика участников рынка. При этом ставка дисконтирования (ставка капитализации) должна соответствовать виду денежного потока в части его инфляционной (номинальный или реальный денежный поток), налоговой (</w:t>
      </w:r>
      <w:proofErr w:type="spellStart"/>
      <w:r w:rsidRPr="00F24C24">
        <w:t>доналоговый</w:t>
      </w:r>
      <w:proofErr w:type="spellEnd"/>
      <w:r w:rsidRPr="00F24C24">
        <w:t xml:space="preserve"> или </w:t>
      </w:r>
      <w:proofErr w:type="spellStart"/>
      <w:r w:rsidRPr="00F24C24">
        <w:t>посленалоговый</w:t>
      </w:r>
      <w:proofErr w:type="spellEnd"/>
      <w:r w:rsidRPr="00F24C24">
        <w:t xml:space="preserve"> денежный поток), валютной и иных составляющих отражать связанный с денежным потоком риск.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18. При выборе прогнозного периода учитываются: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1) оставшийся срок полезного использования объекта оценки;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2) период, на который доступна информация для составления прогноза;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 xml:space="preserve">3) период достижения стабильного темпа роста денежных потоков объекта оценки, после завершения которого возможно применить </w:t>
      </w:r>
      <w:proofErr w:type="spellStart"/>
      <w:r w:rsidRPr="00F24C24">
        <w:t>постпрогнозную</w:t>
      </w:r>
      <w:proofErr w:type="spellEnd"/>
      <w:r w:rsidRPr="00F24C24">
        <w:t xml:space="preserve"> стоимость. Для объектов оценки с сезонным или циклическим характером деятельности прогнозный период должен учитывать сезонность или включать полный цикл получения доходов соответственно.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 xml:space="preserve">19. При прогнозировании денежного потока следует осуществлять его сопоставление со </w:t>
      </w:r>
      <w:r w:rsidRPr="00F24C24">
        <w:lastRenderedPageBreak/>
        <w:t>следующими показателями: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1) ретроспективные показатели операционной, инвестиционной и финансовой деятельности (использования) объекта оценки;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2) ретроспективные и прогнозные показатели отрасли и (или) сегмента рынка;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3) прогнозный темп экономического роста региона или страны, в которой действует (используется) объект оценки.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 xml:space="preserve">20. </w:t>
      </w:r>
      <w:proofErr w:type="spellStart"/>
      <w:r w:rsidRPr="00F24C24">
        <w:t>Постпрогнозная</w:t>
      </w:r>
      <w:proofErr w:type="spellEnd"/>
      <w:r w:rsidRPr="00F24C24">
        <w:t xml:space="preserve"> стоимость представляет собой ожидаемую величину стоимости объекта оценки в конце прогнозного периода. </w:t>
      </w:r>
      <w:proofErr w:type="spellStart"/>
      <w:r w:rsidRPr="00F24C24">
        <w:t>Постпрогнозная</w:t>
      </w:r>
      <w:proofErr w:type="spellEnd"/>
      <w:r w:rsidRPr="00F24C24">
        <w:t xml:space="preserve"> стоимость определяется в случае, если объект оценки продолжит функционировать по окончании прогнозного периода.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 xml:space="preserve">При расчете </w:t>
      </w:r>
      <w:proofErr w:type="spellStart"/>
      <w:r w:rsidRPr="00F24C24">
        <w:t>постпрогнозной</w:t>
      </w:r>
      <w:proofErr w:type="spellEnd"/>
      <w:r w:rsidRPr="00F24C24">
        <w:t xml:space="preserve"> стоимости следует учитывать: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1) срок полезного использования объекта оценки - неограниченный или ограниченный (например, для объектов с истощимыми запасами или ресурсами);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2) потенциал дальнейшего изменения (роста или снижения) денежных потоков за пределами прогнозного периода;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3) заранее определенную сумму денежных средств, ожидаемую к получению после завершения прогнозного периода;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4) циклический характер деятельности или использования объекта оценки.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 xml:space="preserve">21. При расчете </w:t>
      </w:r>
      <w:proofErr w:type="spellStart"/>
      <w:r w:rsidRPr="00F24C24">
        <w:t>постпрогнозной</w:t>
      </w:r>
      <w:proofErr w:type="spellEnd"/>
      <w:r w:rsidRPr="00F24C24">
        <w:t xml:space="preserve"> стоимости могут применяться различные методы, в частности: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1) модель Гордона, которая представляет собой модель постоянного роста, основанная на предположении, что стоимость объекта оценки будет изменяться (увеличиваться или уменьшаться) с постоянным темпом в течение бесконечного периода времени в будущем. Данный метод подходит для объектов оценки с неограниченным или крайне продолжительным сроком полезного использования;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2) метод прямой капитализации. Данный метод подходит для оценки объектов с неограниченным или крайне продолжительным сроком полезного использования;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3) методы сравнительного подхода. Данные методы подходят для объектов оценки как с неограниченным, так и с ограниченным сроком полезного использования;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 xml:space="preserve">4) метод расчета стоимости при ликвидации. В случае если затраты превышают доход от утилизации или ликвидации, величина </w:t>
      </w:r>
      <w:proofErr w:type="spellStart"/>
      <w:r w:rsidRPr="00F24C24">
        <w:t>постпрогнозной</w:t>
      </w:r>
      <w:proofErr w:type="spellEnd"/>
      <w:r w:rsidRPr="00F24C24">
        <w:t xml:space="preserve"> стоимости может принимать отрицательные значения. Данный метод подходит для объектов оценки с ограниченным сроком полезного использования.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22. Ставка дисконтирования и ставка капитализации должны отражать риски получения прогнозируемого денежного потока с точки зрения участников рынка, конкретной сделки или пользователя (в соответствии с видом определяемой стоимости).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Существуют различные методы определения ставки дисконтирования (ставки капитализации) с учетом специфики объекта оценки.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При определении ставки дисконтирования (ставки капитализации) следует учитывать: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1) вид стоимости и соответствующие ему стороны сделки;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2) допущения оценки;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3) вид денежного потока, в частности его инфляционную (номинальный или реальный денежный поток), налоговую (</w:t>
      </w:r>
      <w:proofErr w:type="spellStart"/>
      <w:r w:rsidRPr="00F24C24">
        <w:t>доналоговый</w:t>
      </w:r>
      <w:proofErr w:type="spellEnd"/>
      <w:r w:rsidRPr="00F24C24">
        <w:t xml:space="preserve"> или </w:t>
      </w:r>
      <w:proofErr w:type="spellStart"/>
      <w:r w:rsidRPr="00F24C24">
        <w:t>посленалоговый</w:t>
      </w:r>
      <w:proofErr w:type="spellEnd"/>
      <w:r w:rsidRPr="00F24C24">
        <w:t xml:space="preserve"> денежный поток), валютную и иные составляющие;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4) факторы риска инвестирования в объект оценки, в частности связанные с его следующими особенностями: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вид объекта оценки (недвижимость, движимое имущество, бизнес, обязательства и другие);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сегмент рынка объекта оценки (географическое положение объекта оценки или рынка производимого с его использованием продукта);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срок полезного использования объекта оценки;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специфические риски объекта оценки.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23. В расчетах по доходному подходу необходимо не допускать двойного учета рисков, связанных с получением денежных потоков, и в будущих денежных потоках, и в ставке дисконтирования (капитализации) одновременно.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</w:p>
    <w:p w:rsidR="00F24C24" w:rsidRPr="00F24C24" w:rsidRDefault="00F24C24" w:rsidP="00F24C2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</w:rPr>
      </w:pPr>
      <w:r w:rsidRPr="00F24C24">
        <w:rPr>
          <w:rFonts w:ascii="Times New Roman" w:hAnsi="Times New Roman" w:cs="Times New Roman"/>
          <w:b w:val="0"/>
        </w:rPr>
        <w:lastRenderedPageBreak/>
        <w:t>IV. Затратный подход</w:t>
      </w:r>
    </w:p>
    <w:p w:rsidR="00F24C24" w:rsidRPr="00F24C24" w:rsidRDefault="00F24C24" w:rsidP="00F24C24">
      <w:pPr>
        <w:pStyle w:val="ConsPlusNormal"/>
        <w:contextualSpacing/>
        <w:jc w:val="center"/>
      </w:pP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24. Затратный подход представляет собой совокупность методов оценки, основанных на определении затрат, необходимых для воспроизводства или замещения объекта оценки с учетом совокупного обесценения (износа) объекта оценки и (или) его компонентов. Затратный подход основан на принципе замещения.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25. Рассматривая возможность и целесообразность применения затратного подхода, оценщик должен учитывать: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1) возможность для участников рынка создать объект, обладающий такой же полезностью, что и объект оценки, - значимость подхода высокая, когда у участников рынка есть возможность создать объект без значительных юридических ограничений, настолько быстро, что участники рынка не захотят платить значительную премию за возможность немедленного использования оцениваемого актива при его покупке;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2) надежность других подходов к оценке объекта - наиболее высока значимость затратного подхода, когда объект не генерирует непосредственно доход и является специализированным, то есть не продается на рынке отдельно от бизнеса или имущественного комплекса, для которого был создан.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26. В рамках затратного подхода применяются следующие методы: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1) метод затрат воспроизводства или затрат замещения;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2) метод суммирования стоимости компонентов в составе объекта оценки.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27. Затраты замещения (стоимость замещения) представляют собой текущие затраты на создание или приобретение объекта эквивалентной полезности без учета его точных физических свойств. Обычно затраты замещения относятся к современному аналогичному объекту, обеспечивающему равноценную полезность, имеющему современный дизайн и произведенному с использованием современных экономически эффективных материалов и технологий.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28. Затраты воспроизводства (стоимость воспроизводства) представляют собой текущие затраты на воссоздание или приобретение точной копии объекта. Расчет на основе затрат воспроизводства целесообразно применять в следующих случаях: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1) полезность рассматриваемого объекта может быть обеспечена только точной его копией;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2) затраты на создание или приобретение современного аналога больше, чем затраты на создание точной копии рассматриваемого объекта.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29. Основные этапы методов затрат воспроизводства и затрат замещения: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1) расчет всех затрат участников рынка на приобретение или создание точной копии объекта оценки (затраты на воспроизводство) или актива с аналогичной полезностью (затраты на замещение);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2) определение наличия и величины совокупного обесценения (износа) в связи с физическим износом, функциональным (моральным, технологическим) устареванием (износом) и экономическим (внешним) обесценением объекта оценки;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3) вычет совокупного обесценения (износа) из общей суммы затрат воспроизводства или замещения для определения стоимости объекта оценки.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30. Метод суммирования основан на суммировании стоимостей всех компонентов, входящих в состав объекта оценки, когда стоимость каждого компонента определяется различными подходами с учетом специфики компонента. В оценке бизнеса этот метод носит название метода чистых активов.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31. Элементы затрат воспроизводства и замещения могут различаться в зависимости от вида объекта оценки и допущений оценки и обычно включают прямые и косвенные затраты, возникающие в процессе воспроизводства или замещения объекта на дату оценки. При расчете затрат воспроизводства и затрат замещения могут учитываться затраты на привлечение финансирования на период строительства и прибыль предпринимателя.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32. При определении затрат на воспроизводство или замещение необходимо рассмотреть возможность использования фактических затрат, произведенных при создании объекта оценки или аналогичного объекта, проанализировать и при необходимости применить корректировки: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1) на изменение цен на элементы затрат в период между датой, когда были произведены соответствующие затраты, и датой оценки;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lastRenderedPageBreak/>
        <w:t>2) на нетипичные дополнительные затраты или экономию средств, которые отражены в фактических затратах, но не возникнут при создании точной копии объекта оценки или объекта с аналогичной полезностью;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3) на соответствие фактически произведенных затрат рыночным данным.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33. Различают следующие виды обесценения (износа, устаревания):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1) физический износ, который представляет собой снижение стоимости объекта в результате ухудшения физического состояния и (или) утраты физических свойств из-за естественного физического старения и (или) в процессе использования (эксплуатации);</w:t>
      </w:r>
    </w:p>
    <w:p w:rsidR="00F24C24" w:rsidRPr="00F24C24" w:rsidRDefault="00F24C24" w:rsidP="00F24C24">
      <w:pPr>
        <w:pStyle w:val="ConsPlusNormal"/>
        <w:ind w:firstLine="540"/>
        <w:contextualSpacing/>
        <w:jc w:val="both"/>
      </w:pPr>
      <w:r w:rsidRPr="00F24C24">
        <w:t>2) функциональное устаревание (износ), которое представляет собой снижение стоимости объекта в связи с его несоответствием современным аналогам и (или) снижением технико-экономической эффективности его использования (эксплуатации): более низкая производительность, худшие параметры продукции и (или) технологического процесса, устаревание дизайна, более высокий уровень эксплуатационных расходов и другие факторы;</w:t>
      </w:r>
    </w:p>
    <w:p w:rsidR="00043164" w:rsidRPr="00F24C24" w:rsidRDefault="00F24C24" w:rsidP="00EB3FDB">
      <w:pPr>
        <w:pStyle w:val="ConsPlusNormal"/>
        <w:ind w:firstLine="540"/>
        <w:contextualSpacing/>
        <w:jc w:val="both"/>
      </w:pPr>
      <w:r w:rsidRPr="00F24C24">
        <w:t>3) экономическое (внешнее) обесценение, которое представляет собой снижение стоимости объекта, вызванное факторами, внешними по отношению к объекту, экономическими и (или) локальными факторами, в частности: избыток предложения подобных объектов на рынке, снижение спроса на производимую с использованием объекта продукцию, рост издержек производства, неблагоприятное влияние изменений факторов, характеризующих окружение объекта недвижимости. Действие данного вида обесценения может быть временным или постоянным.</w:t>
      </w:r>
    </w:p>
    <w:sectPr w:rsidR="00043164" w:rsidRPr="00F24C24" w:rsidSect="00551C4E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24"/>
    <w:rsid w:val="00043164"/>
    <w:rsid w:val="00325EC8"/>
    <w:rsid w:val="00551C4E"/>
    <w:rsid w:val="00711F60"/>
    <w:rsid w:val="00A96ED1"/>
    <w:rsid w:val="00EB3FDB"/>
    <w:rsid w:val="00F2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3C5FF-009B-4783-9331-FD516DB8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C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24C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6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2828</Words>
  <Characters>16121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Chernenro</dc:creator>
  <cp:lastModifiedBy>Пользователь</cp:lastModifiedBy>
  <cp:revision>3</cp:revision>
  <cp:lastPrinted>2022-12-07T11:36:00Z</cp:lastPrinted>
  <dcterms:created xsi:type="dcterms:W3CDTF">2022-12-07T11:01:00Z</dcterms:created>
  <dcterms:modified xsi:type="dcterms:W3CDTF">2022-12-07T11:36:00Z</dcterms:modified>
</cp:coreProperties>
</file>