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B8" w:rsidRPr="00AE0DB8" w:rsidRDefault="00AE0DB8" w:rsidP="00AE0DB8">
      <w:pPr>
        <w:spacing w:after="0"/>
        <w:ind w:left="4678"/>
        <w:jc w:val="center"/>
        <w:rPr>
          <w:rFonts w:ascii="Times New Roman" w:hAnsi="Times New Roman" w:cs="Times New Roman"/>
          <w:sz w:val="24"/>
          <w:szCs w:val="24"/>
        </w:rPr>
      </w:pPr>
      <w:r w:rsidRPr="00AE0DB8">
        <w:rPr>
          <w:rFonts w:ascii="Times New Roman" w:hAnsi="Times New Roman" w:cs="Times New Roman"/>
          <w:sz w:val="24"/>
          <w:szCs w:val="24"/>
        </w:rPr>
        <w:t xml:space="preserve">Утверждено </w:t>
      </w:r>
    </w:p>
    <w:p w:rsidR="00AE0DB8" w:rsidRPr="00AE0DB8" w:rsidRDefault="00AE0DB8" w:rsidP="00AE0DB8">
      <w:pPr>
        <w:spacing w:after="0"/>
        <w:ind w:left="4678"/>
        <w:jc w:val="center"/>
        <w:rPr>
          <w:rFonts w:ascii="Times New Roman" w:hAnsi="Times New Roman" w:cs="Times New Roman"/>
          <w:sz w:val="24"/>
          <w:szCs w:val="24"/>
        </w:rPr>
      </w:pPr>
      <w:r w:rsidRPr="00AE0DB8">
        <w:rPr>
          <w:rFonts w:ascii="Times New Roman" w:hAnsi="Times New Roman" w:cs="Times New Roman"/>
          <w:sz w:val="24"/>
          <w:szCs w:val="24"/>
        </w:rPr>
        <w:t xml:space="preserve">решением Совета </w:t>
      </w:r>
      <w:r w:rsidR="00A67B7A">
        <w:rPr>
          <w:rFonts w:ascii="Times New Roman" w:hAnsi="Times New Roman" w:cs="Times New Roman"/>
          <w:sz w:val="24"/>
          <w:szCs w:val="24"/>
        </w:rPr>
        <w:t>СРО РАО</w:t>
      </w:r>
    </w:p>
    <w:p w:rsidR="00AE0DB8" w:rsidRDefault="00AE0DB8" w:rsidP="00AE0DB8">
      <w:pPr>
        <w:spacing w:after="0"/>
        <w:ind w:left="4678"/>
        <w:jc w:val="center"/>
        <w:rPr>
          <w:rFonts w:ascii="Times New Roman" w:hAnsi="Times New Roman" w:cs="Times New Roman"/>
          <w:sz w:val="24"/>
          <w:szCs w:val="24"/>
        </w:rPr>
      </w:pPr>
    </w:p>
    <w:p w:rsidR="00A67B7A" w:rsidRPr="00AE0DB8" w:rsidRDefault="00A67B7A" w:rsidP="00AE0DB8">
      <w:pPr>
        <w:spacing w:after="0"/>
        <w:ind w:left="4678"/>
        <w:jc w:val="center"/>
        <w:rPr>
          <w:rFonts w:ascii="Times New Roman" w:hAnsi="Times New Roman" w:cs="Times New Roman"/>
          <w:sz w:val="24"/>
          <w:szCs w:val="24"/>
        </w:rPr>
      </w:pPr>
      <w:r>
        <w:rPr>
          <w:rFonts w:ascii="Times New Roman" w:hAnsi="Times New Roman" w:cs="Times New Roman"/>
          <w:sz w:val="24"/>
          <w:szCs w:val="24"/>
        </w:rPr>
        <w:t>от __________________________2015 г.</w:t>
      </w:r>
    </w:p>
    <w:p w:rsidR="00AE0DB8" w:rsidRPr="00AE0DB8" w:rsidRDefault="00AE0DB8" w:rsidP="00AE0DB8">
      <w:pPr>
        <w:spacing w:after="0"/>
        <w:ind w:left="4678"/>
        <w:jc w:val="center"/>
        <w:rPr>
          <w:rFonts w:ascii="Times New Roman" w:hAnsi="Times New Roman" w:cs="Times New Roman"/>
          <w:sz w:val="24"/>
          <w:szCs w:val="24"/>
        </w:rPr>
      </w:pPr>
    </w:p>
    <w:p w:rsidR="00AE0DB8" w:rsidRPr="00AE0DB8" w:rsidRDefault="00AE0DB8" w:rsidP="00AE0DB8">
      <w:pPr>
        <w:spacing w:after="0"/>
        <w:ind w:left="4678"/>
        <w:jc w:val="center"/>
        <w:rPr>
          <w:rFonts w:ascii="Times New Roman" w:hAnsi="Times New Roman" w:cs="Times New Roman"/>
          <w:sz w:val="24"/>
          <w:szCs w:val="24"/>
        </w:rPr>
      </w:pPr>
      <w:r w:rsidRPr="00AE0DB8">
        <w:rPr>
          <w:rFonts w:ascii="Times New Roman" w:hAnsi="Times New Roman" w:cs="Times New Roman"/>
          <w:sz w:val="24"/>
          <w:szCs w:val="24"/>
        </w:rPr>
        <w:t xml:space="preserve">Президент Совета </w:t>
      </w:r>
      <w:r w:rsidR="00A67B7A">
        <w:rPr>
          <w:rFonts w:ascii="Times New Roman" w:hAnsi="Times New Roman" w:cs="Times New Roman"/>
          <w:sz w:val="24"/>
          <w:szCs w:val="24"/>
        </w:rPr>
        <w:t>СРО РАО</w:t>
      </w:r>
    </w:p>
    <w:p w:rsidR="00AE0DB8" w:rsidRPr="00AE0DB8" w:rsidRDefault="00AE0DB8" w:rsidP="00AE0DB8">
      <w:pPr>
        <w:spacing w:after="0"/>
        <w:ind w:left="4678"/>
        <w:jc w:val="center"/>
        <w:rPr>
          <w:rFonts w:ascii="Times New Roman" w:hAnsi="Times New Roman" w:cs="Times New Roman"/>
          <w:sz w:val="24"/>
          <w:szCs w:val="24"/>
        </w:rPr>
      </w:pPr>
      <w:r w:rsidRPr="00AE0DB8">
        <w:rPr>
          <w:rFonts w:ascii="Times New Roman" w:hAnsi="Times New Roman" w:cs="Times New Roman"/>
          <w:sz w:val="24"/>
          <w:szCs w:val="24"/>
        </w:rPr>
        <w:t xml:space="preserve"> </w:t>
      </w:r>
    </w:p>
    <w:p w:rsidR="00AE0DB8" w:rsidRPr="00AE0DB8" w:rsidRDefault="00AE0DB8" w:rsidP="00AE0DB8">
      <w:pPr>
        <w:spacing w:after="0"/>
        <w:ind w:left="4906"/>
        <w:jc w:val="center"/>
        <w:rPr>
          <w:rFonts w:ascii="Times New Roman" w:hAnsi="Times New Roman" w:cs="Times New Roman"/>
          <w:sz w:val="24"/>
          <w:szCs w:val="24"/>
        </w:rPr>
      </w:pPr>
      <w:r w:rsidRPr="00AE0DB8">
        <w:rPr>
          <w:rFonts w:ascii="Times New Roman" w:hAnsi="Times New Roman" w:cs="Times New Roman"/>
          <w:sz w:val="24"/>
          <w:szCs w:val="24"/>
        </w:rPr>
        <w:t>_____________________К. И. Овчинников</w:t>
      </w: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jc w:val="center"/>
        <w:rPr>
          <w:rFonts w:ascii="Times New Roman" w:hAnsi="Times New Roman" w:cs="Times New Roman"/>
          <w:b/>
          <w:sz w:val="24"/>
          <w:szCs w:val="24"/>
        </w:rPr>
      </w:pPr>
    </w:p>
    <w:p w:rsidR="00AE0DB8" w:rsidRPr="00AE0DB8" w:rsidRDefault="00AE0DB8" w:rsidP="00AE0DB8">
      <w:pPr>
        <w:spacing w:after="0"/>
        <w:ind w:left="-20" w:right="-6" w:firstLine="14"/>
        <w:jc w:val="center"/>
        <w:rPr>
          <w:rFonts w:ascii="Times New Roman" w:hAnsi="Times New Roman" w:cs="Times New Roman"/>
          <w:b/>
          <w:color w:val="000000"/>
          <w:sz w:val="24"/>
          <w:szCs w:val="24"/>
        </w:rPr>
      </w:pPr>
      <w:r>
        <w:rPr>
          <w:rFonts w:ascii="Times New Roman" w:hAnsi="Times New Roman" w:cs="Times New Roman"/>
          <w:b/>
          <w:sz w:val="24"/>
          <w:szCs w:val="24"/>
        </w:rPr>
        <w:t>ИНВЕСТИЦИОННАЯ ДЕКЛАРАЦИЯ</w:t>
      </w:r>
    </w:p>
    <w:p w:rsidR="00AE0DB8" w:rsidRPr="00AE0DB8" w:rsidRDefault="00AE0DB8" w:rsidP="00AE0DB8">
      <w:pPr>
        <w:spacing w:after="0"/>
        <w:ind w:left="-20" w:right="-6" w:firstLine="14"/>
        <w:jc w:val="center"/>
        <w:rPr>
          <w:rFonts w:ascii="Times New Roman" w:hAnsi="Times New Roman" w:cs="Times New Roman"/>
          <w:sz w:val="24"/>
          <w:szCs w:val="24"/>
        </w:rPr>
      </w:pPr>
    </w:p>
    <w:p w:rsidR="00AE0DB8" w:rsidRPr="00AE0DB8" w:rsidRDefault="00AE0DB8" w:rsidP="00AE0DB8">
      <w:pPr>
        <w:spacing w:after="0"/>
        <w:ind w:left="-20" w:right="-6" w:firstLine="14"/>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Default="00AE0DB8" w:rsidP="00AE0DB8">
      <w:pPr>
        <w:spacing w:after="0"/>
        <w:jc w:val="center"/>
        <w:rPr>
          <w:rFonts w:ascii="Times New Roman" w:hAnsi="Times New Roman" w:cs="Times New Roman"/>
          <w:sz w:val="24"/>
          <w:szCs w:val="24"/>
        </w:rPr>
      </w:pPr>
    </w:p>
    <w:p w:rsidR="00AE0DB8" w:rsidRDefault="00AE0DB8" w:rsidP="00AE0DB8">
      <w:pPr>
        <w:spacing w:after="0"/>
        <w:jc w:val="center"/>
        <w:rPr>
          <w:rFonts w:ascii="Times New Roman" w:hAnsi="Times New Roman" w:cs="Times New Roman"/>
          <w:sz w:val="24"/>
          <w:szCs w:val="24"/>
        </w:rPr>
      </w:pPr>
    </w:p>
    <w:p w:rsidR="00AE0DB8" w:rsidRDefault="00AE0DB8" w:rsidP="00AE0DB8">
      <w:pPr>
        <w:spacing w:after="0"/>
        <w:jc w:val="center"/>
        <w:rPr>
          <w:rFonts w:ascii="Times New Roman" w:hAnsi="Times New Roman" w:cs="Times New Roman"/>
          <w:sz w:val="24"/>
          <w:szCs w:val="24"/>
        </w:rPr>
      </w:pPr>
    </w:p>
    <w:p w:rsid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p>
    <w:p w:rsidR="00AE0DB8" w:rsidRPr="00AE0DB8" w:rsidRDefault="00AE0DB8" w:rsidP="00AE0DB8">
      <w:pPr>
        <w:spacing w:after="0"/>
        <w:jc w:val="center"/>
        <w:rPr>
          <w:rFonts w:ascii="Times New Roman" w:hAnsi="Times New Roman" w:cs="Times New Roman"/>
          <w:sz w:val="24"/>
          <w:szCs w:val="24"/>
        </w:rPr>
      </w:pPr>
      <w:r w:rsidRPr="00AE0DB8">
        <w:rPr>
          <w:rFonts w:ascii="Times New Roman" w:hAnsi="Times New Roman" w:cs="Times New Roman"/>
          <w:sz w:val="24"/>
          <w:szCs w:val="24"/>
        </w:rPr>
        <w:t>г. Краснодар</w:t>
      </w:r>
    </w:p>
    <w:p w:rsidR="00AE0DB8" w:rsidRPr="00AE0DB8" w:rsidRDefault="00AE0DB8" w:rsidP="00AE0DB8">
      <w:pPr>
        <w:spacing w:after="0"/>
        <w:jc w:val="center"/>
        <w:rPr>
          <w:rFonts w:ascii="Times New Roman" w:hAnsi="Times New Roman" w:cs="Times New Roman"/>
          <w:sz w:val="24"/>
          <w:szCs w:val="24"/>
        </w:rPr>
      </w:pPr>
      <w:r w:rsidRPr="00AE0DB8">
        <w:rPr>
          <w:rFonts w:ascii="Times New Roman" w:hAnsi="Times New Roman" w:cs="Times New Roman"/>
          <w:sz w:val="24"/>
          <w:szCs w:val="24"/>
        </w:rPr>
        <w:t>201</w:t>
      </w:r>
      <w:r w:rsidR="00A67B7A">
        <w:rPr>
          <w:rFonts w:ascii="Times New Roman" w:hAnsi="Times New Roman" w:cs="Times New Roman"/>
          <w:sz w:val="24"/>
          <w:szCs w:val="24"/>
        </w:rPr>
        <w:t>5</w:t>
      </w:r>
      <w:r w:rsidRPr="00AE0DB8">
        <w:rPr>
          <w:rFonts w:ascii="Times New Roman" w:hAnsi="Times New Roman" w:cs="Times New Roman"/>
          <w:sz w:val="24"/>
          <w:szCs w:val="24"/>
        </w:rPr>
        <w:t xml:space="preserve"> г.</w:t>
      </w:r>
    </w:p>
    <w:p w:rsidR="00B225CC" w:rsidRDefault="00AE0DB8" w:rsidP="00AE0DB8">
      <w:pPr>
        <w:pStyle w:val="a3"/>
        <w:numPr>
          <w:ilvl w:val="0"/>
          <w:numId w:val="1"/>
        </w:numPr>
        <w:spacing w:after="0"/>
        <w:ind w:left="-1134" w:right="-284" w:firstLine="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Настоящая инвестиционная декларация разработана в соответствии с Федеральным законом «Об оценочной деятельности в Российской Федерации»</w:t>
      </w:r>
      <w:r w:rsidR="0070586C">
        <w:rPr>
          <w:rFonts w:ascii="Times New Roman" w:hAnsi="Times New Roman" w:cs="Times New Roman"/>
          <w:sz w:val="24"/>
          <w:szCs w:val="24"/>
        </w:rPr>
        <w:t xml:space="preserve">, Федеральным законом «О саморегулируемых организация», Федеральным законом «Об инвестиционной деятельности в Российской Федерации, осуществляемой в форме капительных вложений», Федеральным законом «О рынке ценных бумаг», Федеральным законом «Об инвестиционных фондах», иными нормативно-правовыми актами Российской Федерации, Уставом </w:t>
      </w:r>
      <w:r w:rsidR="00A67B7A">
        <w:rPr>
          <w:rFonts w:ascii="Times New Roman" w:hAnsi="Times New Roman" w:cs="Times New Roman"/>
          <w:sz w:val="24"/>
          <w:szCs w:val="24"/>
        </w:rPr>
        <w:t>С</w:t>
      </w:r>
      <w:r w:rsidR="00C93C24">
        <w:rPr>
          <w:rFonts w:ascii="Times New Roman" w:hAnsi="Times New Roman" w:cs="Times New Roman"/>
          <w:sz w:val="24"/>
          <w:szCs w:val="24"/>
        </w:rPr>
        <w:t xml:space="preserve">аморегулируемой организации </w:t>
      </w:r>
      <w:r w:rsidR="00A67B7A">
        <w:rPr>
          <w:rFonts w:ascii="Times New Roman" w:hAnsi="Times New Roman" w:cs="Times New Roman"/>
          <w:sz w:val="24"/>
          <w:szCs w:val="24"/>
        </w:rPr>
        <w:t xml:space="preserve">Региональной ассоциации оценщиков, </w:t>
      </w:r>
      <w:r w:rsidR="00C93C24">
        <w:rPr>
          <w:rFonts w:ascii="Times New Roman" w:hAnsi="Times New Roman" w:cs="Times New Roman"/>
          <w:sz w:val="24"/>
          <w:szCs w:val="24"/>
        </w:rPr>
        <w:t>Положением «О компенсационном фонде».</w:t>
      </w:r>
      <w:proofErr w:type="gramEnd"/>
    </w:p>
    <w:p w:rsidR="00C93C24" w:rsidRDefault="00C93C24" w:rsidP="00AE0DB8">
      <w:pPr>
        <w:pStyle w:val="a3"/>
        <w:numPr>
          <w:ilvl w:val="0"/>
          <w:numId w:val="1"/>
        </w:numPr>
        <w:spacing w:after="0"/>
        <w:ind w:left="-1134" w:right="-284" w:firstLine="0"/>
        <w:jc w:val="both"/>
        <w:rPr>
          <w:rFonts w:ascii="Times New Roman" w:hAnsi="Times New Roman" w:cs="Times New Roman"/>
          <w:sz w:val="24"/>
          <w:szCs w:val="24"/>
        </w:rPr>
      </w:pPr>
      <w:r>
        <w:rPr>
          <w:rFonts w:ascii="Times New Roman" w:hAnsi="Times New Roman" w:cs="Times New Roman"/>
          <w:sz w:val="24"/>
          <w:szCs w:val="24"/>
        </w:rPr>
        <w:t xml:space="preserve">Настоящая Инвестиционная декларация устанавливает правила и требования размещения средств компенсационного фонда </w:t>
      </w:r>
      <w:r w:rsidR="00A67B7A">
        <w:rPr>
          <w:rFonts w:ascii="Times New Roman" w:hAnsi="Times New Roman" w:cs="Times New Roman"/>
          <w:sz w:val="24"/>
          <w:szCs w:val="24"/>
        </w:rPr>
        <w:t>Ассоциации</w:t>
      </w:r>
      <w:r>
        <w:rPr>
          <w:rFonts w:ascii="Times New Roman" w:hAnsi="Times New Roman" w:cs="Times New Roman"/>
          <w:sz w:val="24"/>
          <w:szCs w:val="24"/>
        </w:rPr>
        <w:t xml:space="preserve"> (далее – компенсационный фонд), а также цель и правила их инвестирования.</w:t>
      </w:r>
    </w:p>
    <w:p w:rsidR="00C93C24" w:rsidRDefault="00C93C24" w:rsidP="00AE0DB8">
      <w:pPr>
        <w:pStyle w:val="a3"/>
        <w:numPr>
          <w:ilvl w:val="0"/>
          <w:numId w:val="1"/>
        </w:numPr>
        <w:spacing w:after="0"/>
        <w:ind w:left="-1134" w:right="-284" w:firstLine="0"/>
        <w:jc w:val="both"/>
        <w:rPr>
          <w:rFonts w:ascii="Times New Roman" w:hAnsi="Times New Roman" w:cs="Times New Roman"/>
          <w:sz w:val="24"/>
          <w:szCs w:val="24"/>
        </w:rPr>
      </w:pPr>
      <w:r>
        <w:rPr>
          <w:rFonts w:ascii="Times New Roman" w:hAnsi="Times New Roman" w:cs="Times New Roman"/>
          <w:sz w:val="24"/>
          <w:szCs w:val="24"/>
        </w:rPr>
        <w:t xml:space="preserve">Настоящая инвестиционная декларация является неотъемлемой частью договора доверительного управления средствами компенсационного фонда </w:t>
      </w:r>
      <w:r w:rsidR="00A67B7A">
        <w:rPr>
          <w:rFonts w:ascii="Times New Roman" w:hAnsi="Times New Roman" w:cs="Times New Roman"/>
          <w:sz w:val="24"/>
          <w:szCs w:val="24"/>
        </w:rPr>
        <w:t>Ассоциации</w:t>
      </w:r>
      <w:r>
        <w:rPr>
          <w:rFonts w:ascii="Times New Roman" w:hAnsi="Times New Roman" w:cs="Times New Roman"/>
          <w:sz w:val="24"/>
          <w:szCs w:val="24"/>
        </w:rPr>
        <w:t xml:space="preserve">, заключаемого между Управляющей компанией и </w:t>
      </w:r>
      <w:r w:rsidR="00A67B7A">
        <w:rPr>
          <w:rFonts w:ascii="Times New Roman" w:hAnsi="Times New Roman" w:cs="Times New Roman"/>
          <w:sz w:val="24"/>
          <w:szCs w:val="24"/>
        </w:rPr>
        <w:t>Ассоциацией</w:t>
      </w:r>
      <w:r>
        <w:rPr>
          <w:rFonts w:ascii="Times New Roman" w:hAnsi="Times New Roman" w:cs="Times New Roman"/>
          <w:sz w:val="24"/>
          <w:szCs w:val="24"/>
        </w:rPr>
        <w:t xml:space="preserve">, и </w:t>
      </w:r>
      <w:proofErr w:type="gramStart"/>
      <w:r>
        <w:rPr>
          <w:rFonts w:ascii="Times New Roman" w:hAnsi="Times New Roman" w:cs="Times New Roman"/>
          <w:sz w:val="24"/>
          <w:szCs w:val="24"/>
        </w:rPr>
        <w:t>устанавливает условия</w:t>
      </w:r>
      <w:proofErr w:type="gramEnd"/>
      <w:r>
        <w:rPr>
          <w:rFonts w:ascii="Times New Roman" w:hAnsi="Times New Roman" w:cs="Times New Roman"/>
          <w:sz w:val="24"/>
          <w:szCs w:val="24"/>
        </w:rPr>
        <w:t xml:space="preserve">, которыми обязана руководствоваться Управляющая компания при управлении средствами компенсационного фонда </w:t>
      </w:r>
      <w:r w:rsidR="00A67B7A">
        <w:rPr>
          <w:rFonts w:ascii="Times New Roman" w:hAnsi="Times New Roman" w:cs="Times New Roman"/>
          <w:sz w:val="24"/>
          <w:szCs w:val="24"/>
        </w:rPr>
        <w:t>Ассоциации</w:t>
      </w:r>
      <w:r>
        <w:rPr>
          <w:rFonts w:ascii="Times New Roman" w:hAnsi="Times New Roman" w:cs="Times New Roman"/>
          <w:sz w:val="24"/>
          <w:szCs w:val="24"/>
        </w:rPr>
        <w:t>.</w:t>
      </w:r>
    </w:p>
    <w:p w:rsidR="00C93C24" w:rsidRDefault="00C93C24" w:rsidP="00AE0DB8">
      <w:pPr>
        <w:pStyle w:val="a3"/>
        <w:numPr>
          <w:ilvl w:val="0"/>
          <w:numId w:val="1"/>
        </w:numPr>
        <w:spacing w:after="0"/>
        <w:ind w:left="-1134" w:right="-284" w:firstLine="0"/>
        <w:jc w:val="both"/>
        <w:rPr>
          <w:rFonts w:ascii="Times New Roman" w:hAnsi="Times New Roman" w:cs="Times New Roman"/>
          <w:sz w:val="24"/>
          <w:szCs w:val="24"/>
        </w:rPr>
      </w:pPr>
      <w:r>
        <w:rPr>
          <w:rFonts w:ascii="Times New Roman" w:hAnsi="Times New Roman" w:cs="Times New Roman"/>
          <w:sz w:val="24"/>
          <w:szCs w:val="24"/>
        </w:rPr>
        <w:t xml:space="preserve">Управляющая компания обязана осуществлять </w:t>
      </w:r>
      <w:r w:rsidR="00D04745">
        <w:rPr>
          <w:rFonts w:ascii="Times New Roman" w:hAnsi="Times New Roman" w:cs="Times New Roman"/>
          <w:sz w:val="24"/>
          <w:szCs w:val="24"/>
        </w:rPr>
        <w:t>инвестирование средств компенсационного фонда разумно и добросовестно, исходя из принципов надежности, ликвидности и диверсификации.</w:t>
      </w:r>
    </w:p>
    <w:p w:rsidR="00D04745" w:rsidRDefault="00D04745" w:rsidP="00614170">
      <w:pPr>
        <w:spacing w:after="0"/>
        <w:ind w:left="-1134" w:right="-284"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Инвестиционная политика управляющей компании должна основываться на консервативной стратегии сохранения и увеличения капитала, предполагающей использование системы контроля рисков для получения среднего стабильного дохода при минимальном уровне риска, в целях сохранения и приумножения средств компенсационного фонда </w:t>
      </w:r>
      <w:r w:rsidR="00A67B7A">
        <w:rPr>
          <w:rFonts w:ascii="Times New Roman" w:hAnsi="Times New Roman" w:cs="Times New Roman"/>
          <w:sz w:val="24"/>
          <w:szCs w:val="24"/>
        </w:rPr>
        <w:t>Ассоциации</w:t>
      </w:r>
      <w:r>
        <w:rPr>
          <w:rFonts w:ascii="Times New Roman" w:hAnsi="Times New Roman" w:cs="Times New Roman"/>
          <w:sz w:val="24"/>
          <w:szCs w:val="24"/>
        </w:rPr>
        <w:t>, находящихся в доверительном у</w:t>
      </w:r>
      <w:r w:rsidR="00614170">
        <w:rPr>
          <w:rFonts w:ascii="Times New Roman" w:hAnsi="Times New Roman" w:cs="Times New Roman"/>
          <w:sz w:val="24"/>
          <w:szCs w:val="24"/>
        </w:rPr>
        <w:t>правления управляющей компании.</w:t>
      </w:r>
      <w:proofErr w:type="gramEnd"/>
    </w:p>
    <w:p w:rsidR="00614170" w:rsidRDefault="00614170" w:rsidP="00614170">
      <w:pPr>
        <w:pStyle w:val="a3"/>
        <w:numPr>
          <w:ilvl w:val="0"/>
          <w:numId w:val="1"/>
        </w:numPr>
        <w:spacing w:after="0"/>
        <w:ind w:left="-1134" w:right="-284"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Целью инвестирования средств компенсационного фонда, переданных </w:t>
      </w:r>
      <w:r w:rsidR="00A67B7A">
        <w:rPr>
          <w:rFonts w:ascii="Times New Roman" w:hAnsi="Times New Roman" w:cs="Times New Roman"/>
          <w:sz w:val="24"/>
          <w:szCs w:val="24"/>
        </w:rPr>
        <w:t>Ассоциацией</w:t>
      </w:r>
      <w:bookmarkStart w:id="0" w:name="_GoBack"/>
      <w:bookmarkEnd w:id="0"/>
      <w:r>
        <w:rPr>
          <w:rFonts w:ascii="Times New Roman" w:hAnsi="Times New Roman" w:cs="Times New Roman"/>
          <w:sz w:val="24"/>
          <w:szCs w:val="24"/>
        </w:rPr>
        <w:t xml:space="preserve"> управляющей компании в доверительное управление, является сохранение и увеличение его размера для обеспечения имущественной ответственности членов </w:t>
      </w:r>
      <w:r w:rsidR="00A67B7A">
        <w:rPr>
          <w:rFonts w:ascii="Times New Roman" w:hAnsi="Times New Roman" w:cs="Times New Roman"/>
          <w:sz w:val="24"/>
          <w:szCs w:val="24"/>
        </w:rPr>
        <w:t>Ассоциации</w:t>
      </w:r>
      <w:r w:rsidR="00B461FD">
        <w:rPr>
          <w:rFonts w:ascii="Times New Roman" w:hAnsi="Times New Roman" w:cs="Times New Roman"/>
          <w:sz w:val="24"/>
          <w:szCs w:val="24"/>
        </w:rPr>
        <w:t xml:space="preserve"> по обя</w:t>
      </w:r>
      <w:r w:rsidR="00F6501C">
        <w:rPr>
          <w:rFonts w:ascii="Times New Roman" w:hAnsi="Times New Roman" w:cs="Times New Roman"/>
          <w:sz w:val="24"/>
          <w:szCs w:val="24"/>
        </w:rPr>
        <w:t xml:space="preserve">зательствам, возникшим вследствие причинения убытка лицам, заключившим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 членом </w:t>
      </w:r>
      <w:r w:rsidR="00A67B7A">
        <w:rPr>
          <w:rFonts w:ascii="Times New Roman" w:hAnsi="Times New Roman" w:cs="Times New Roman"/>
          <w:sz w:val="24"/>
          <w:szCs w:val="24"/>
        </w:rPr>
        <w:t>Ассоциации</w:t>
      </w:r>
      <w:r w:rsidR="00F6501C">
        <w:rPr>
          <w:rFonts w:ascii="Times New Roman" w:hAnsi="Times New Roman" w:cs="Times New Roman"/>
          <w:sz w:val="24"/>
          <w:szCs w:val="24"/>
        </w:rPr>
        <w:t>, а</w:t>
      </w:r>
      <w:proofErr w:type="gramEnd"/>
      <w:r w:rsidR="00F6501C">
        <w:rPr>
          <w:rFonts w:ascii="Times New Roman" w:hAnsi="Times New Roman" w:cs="Times New Roman"/>
          <w:sz w:val="24"/>
          <w:szCs w:val="24"/>
        </w:rPr>
        <w:t xml:space="preserve"> также в связи с неисполнением или ненадлежащим исполнением членом </w:t>
      </w:r>
      <w:r w:rsidR="00A67B7A">
        <w:rPr>
          <w:rFonts w:ascii="Times New Roman" w:hAnsi="Times New Roman" w:cs="Times New Roman"/>
          <w:sz w:val="24"/>
          <w:szCs w:val="24"/>
        </w:rPr>
        <w:t>Ассоциации</w:t>
      </w:r>
      <w:r w:rsidR="00F6501C">
        <w:rPr>
          <w:rFonts w:ascii="Times New Roman" w:hAnsi="Times New Roman" w:cs="Times New Roman"/>
          <w:sz w:val="24"/>
          <w:szCs w:val="24"/>
        </w:rPr>
        <w:t xml:space="preserve"> возложенных на него обязанностей по оценке.</w:t>
      </w:r>
    </w:p>
    <w:p w:rsidR="00F6501C" w:rsidRDefault="00F6501C" w:rsidP="00F6501C">
      <w:pPr>
        <w:pStyle w:val="a3"/>
        <w:numPr>
          <w:ilvl w:val="0"/>
          <w:numId w:val="1"/>
        </w:numPr>
        <w:spacing w:after="0"/>
        <w:ind w:left="-1134" w:right="-284" w:firstLine="0"/>
        <w:jc w:val="both"/>
        <w:rPr>
          <w:rFonts w:ascii="Times New Roman" w:hAnsi="Times New Roman" w:cs="Times New Roman"/>
          <w:sz w:val="24"/>
          <w:szCs w:val="24"/>
        </w:rPr>
      </w:pPr>
      <w:r>
        <w:rPr>
          <w:rFonts w:ascii="Times New Roman" w:hAnsi="Times New Roman" w:cs="Times New Roman"/>
          <w:sz w:val="24"/>
          <w:szCs w:val="24"/>
        </w:rPr>
        <w:t>Перечень видов активов, в которые могут быть размещены средства компенсационного фонда (Таблица 1):</w:t>
      </w:r>
    </w:p>
    <w:p w:rsidR="00F6501C" w:rsidRDefault="00F6501C" w:rsidP="00F6501C">
      <w:pPr>
        <w:spacing w:after="0"/>
        <w:ind w:left="-1134" w:right="-284"/>
        <w:jc w:val="right"/>
        <w:rPr>
          <w:rFonts w:ascii="Times New Roman" w:hAnsi="Times New Roman" w:cs="Times New Roman"/>
          <w:sz w:val="24"/>
          <w:szCs w:val="24"/>
        </w:rPr>
      </w:pPr>
      <w:r>
        <w:rPr>
          <w:rFonts w:ascii="Times New Roman" w:hAnsi="Times New Roman" w:cs="Times New Roman"/>
          <w:sz w:val="24"/>
          <w:szCs w:val="24"/>
        </w:rPr>
        <w:t>Таблица 1</w:t>
      </w:r>
    </w:p>
    <w:p w:rsidR="00F6501C" w:rsidRDefault="00F6501C" w:rsidP="00F6501C">
      <w:pPr>
        <w:spacing w:after="0"/>
        <w:ind w:left="-1134" w:right="-284"/>
        <w:jc w:val="right"/>
        <w:rPr>
          <w:rFonts w:ascii="Times New Roman" w:hAnsi="Times New Roman" w:cs="Times New Roman"/>
          <w:sz w:val="24"/>
          <w:szCs w:val="24"/>
        </w:rPr>
      </w:pPr>
    </w:p>
    <w:tbl>
      <w:tblPr>
        <w:tblStyle w:val="a4"/>
        <w:tblW w:w="10773" w:type="dxa"/>
        <w:tblInd w:w="-1026" w:type="dxa"/>
        <w:tblLayout w:type="fixed"/>
        <w:tblLook w:val="04A0" w:firstRow="1" w:lastRow="0" w:firstColumn="1" w:lastColumn="0" w:noHBand="0" w:noVBand="1"/>
      </w:tblPr>
      <w:tblGrid>
        <w:gridCol w:w="992"/>
        <w:gridCol w:w="5813"/>
        <w:gridCol w:w="3968"/>
      </w:tblGrid>
      <w:tr w:rsidR="00F6501C" w:rsidRPr="00F6501C" w:rsidTr="00490049">
        <w:tc>
          <w:tcPr>
            <w:tcW w:w="992" w:type="dxa"/>
          </w:tcPr>
          <w:p w:rsidR="00F6501C" w:rsidRPr="00F6501C" w:rsidRDefault="00F6501C" w:rsidP="00490049">
            <w:pPr>
              <w:ind w:right="-44"/>
              <w:jc w:val="center"/>
              <w:rPr>
                <w:rFonts w:ascii="Times New Roman" w:hAnsi="Times New Roman" w:cs="Times New Roman"/>
                <w:b/>
                <w:sz w:val="24"/>
                <w:szCs w:val="24"/>
              </w:rPr>
            </w:pPr>
            <w:r>
              <w:rPr>
                <w:rFonts w:ascii="Times New Roman" w:hAnsi="Times New Roman" w:cs="Times New Roman"/>
                <w:b/>
                <w:sz w:val="24"/>
                <w:szCs w:val="24"/>
              </w:rPr>
              <w:t>№ п/п</w:t>
            </w:r>
          </w:p>
        </w:tc>
        <w:tc>
          <w:tcPr>
            <w:tcW w:w="5813" w:type="dxa"/>
          </w:tcPr>
          <w:p w:rsidR="00F6501C" w:rsidRPr="00F6501C" w:rsidRDefault="00F6501C" w:rsidP="00490049">
            <w:pPr>
              <w:jc w:val="center"/>
              <w:rPr>
                <w:rFonts w:ascii="Times New Roman" w:hAnsi="Times New Roman" w:cs="Times New Roman"/>
                <w:b/>
                <w:sz w:val="24"/>
                <w:szCs w:val="24"/>
              </w:rPr>
            </w:pPr>
            <w:r>
              <w:rPr>
                <w:rFonts w:ascii="Times New Roman" w:hAnsi="Times New Roman" w:cs="Times New Roman"/>
                <w:b/>
                <w:sz w:val="24"/>
                <w:szCs w:val="24"/>
              </w:rPr>
              <w:t>Виды актива</w:t>
            </w:r>
          </w:p>
        </w:tc>
        <w:tc>
          <w:tcPr>
            <w:tcW w:w="3968" w:type="dxa"/>
          </w:tcPr>
          <w:p w:rsidR="00F6501C" w:rsidRPr="00F6501C" w:rsidRDefault="00F6501C" w:rsidP="00F6501C">
            <w:pPr>
              <w:ind w:right="-284"/>
              <w:jc w:val="center"/>
              <w:rPr>
                <w:rFonts w:ascii="Times New Roman" w:hAnsi="Times New Roman" w:cs="Times New Roman"/>
                <w:b/>
                <w:sz w:val="24"/>
                <w:szCs w:val="24"/>
              </w:rPr>
            </w:pPr>
            <w:r>
              <w:rPr>
                <w:rFonts w:ascii="Times New Roman" w:hAnsi="Times New Roman" w:cs="Times New Roman"/>
                <w:b/>
                <w:sz w:val="24"/>
                <w:szCs w:val="24"/>
              </w:rPr>
              <w:t>Размер доли компенсационного фонда (в процентах)</w:t>
            </w:r>
          </w:p>
        </w:tc>
      </w:tr>
      <w:tr w:rsidR="002159E3" w:rsidTr="001B26E6">
        <w:tc>
          <w:tcPr>
            <w:tcW w:w="992" w:type="dxa"/>
          </w:tcPr>
          <w:p w:rsidR="002159E3" w:rsidRDefault="002159E3" w:rsidP="001B26E6">
            <w:pPr>
              <w:ind w:right="-284"/>
              <w:jc w:val="center"/>
              <w:rPr>
                <w:rFonts w:ascii="Times New Roman" w:hAnsi="Times New Roman" w:cs="Times New Roman"/>
                <w:sz w:val="24"/>
                <w:szCs w:val="24"/>
              </w:rPr>
            </w:pPr>
            <w:r>
              <w:rPr>
                <w:rFonts w:ascii="Times New Roman" w:hAnsi="Times New Roman" w:cs="Times New Roman"/>
                <w:sz w:val="24"/>
                <w:szCs w:val="24"/>
              </w:rPr>
              <w:t>1</w:t>
            </w:r>
          </w:p>
        </w:tc>
        <w:tc>
          <w:tcPr>
            <w:tcW w:w="5813" w:type="dxa"/>
          </w:tcPr>
          <w:p w:rsidR="002159E3" w:rsidRDefault="002159E3" w:rsidP="001B26E6">
            <w:pPr>
              <w:jc w:val="both"/>
              <w:rPr>
                <w:rFonts w:ascii="Times New Roman" w:hAnsi="Times New Roman" w:cs="Times New Roman"/>
                <w:sz w:val="24"/>
                <w:szCs w:val="24"/>
              </w:rPr>
            </w:pPr>
            <w:r>
              <w:rPr>
                <w:rFonts w:ascii="Times New Roman" w:hAnsi="Times New Roman" w:cs="Times New Roman"/>
                <w:sz w:val="24"/>
                <w:szCs w:val="24"/>
              </w:rPr>
              <w:t>Государственные ценные бумаги Российской Федерации</w:t>
            </w:r>
          </w:p>
        </w:tc>
        <w:tc>
          <w:tcPr>
            <w:tcW w:w="3968" w:type="dxa"/>
          </w:tcPr>
          <w:p w:rsidR="002159E3" w:rsidRDefault="002159E3" w:rsidP="001B26E6">
            <w:pPr>
              <w:ind w:right="-284"/>
              <w:jc w:val="both"/>
              <w:rPr>
                <w:rFonts w:ascii="Times New Roman" w:hAnsi="Times New Roman" w:cs="Times New Roman"/>
                <w:sz w:val="24"/>
                <w:szCs w:val="24"/>
              </w:rPr>
            </w:pPr>
            <w:r>
              <w:rPr>
                <w:rFonts w:ascii="Times New Roman" w:hAnsi="Times New Roman" w:cs="Times New Roman"/>
                <w:sz w:val="24"/>
                <w:szCs w:val="24"/>
              </w:rPr>
              <w:t>Не менее 40</w:t>
            </w:r>
          </w:p>
        </w:tc>
      </w:tr>
      <w:tr w:rsidR="00251171" w:rsidTr="00490049">
        <w:tc>
          <w:tcPr>
            <w:tcW w:w="992" w:type="dxa"/>
          </w:tcPr>
          <w:p w:rsidR="00251171" w:rsidRDefault="001F641B" w:rsidP="00490049">
            <w:pPr>
              <w:ind w:right="-284"/>
              <w:jc w:val="center"/>
              <w:rPr>
                <w:rFonts w:ascii="Times New Roman" w:hAnsi="Times New Roman" w:cs="Times New Roman"/>
                <w:sz w:val="24"/>
                <w:szCs w:val="24"/>
              </w:rPr>
            </w:pPr>
            <w:r>
              <w:rPr>
                <w:rFonts w:ascii="Times New Roman" w:hAnsi="Times New Roman" w:cs="Times New Roman"/>
                <w:sz w:val="24"/>
                <w:szCs w:val="24"/>
              </w:rPr>
              <w:t>2</w:t>
            </w:r>
          </w:p>
        </w:tc>
        <w:tc>
          <w:tcPr>
            <w:tcW w:w="5813" w:type="dxa"/>
          </w:tcPr>
          <w:p w:rsidR="00251171" w:rsidRDefault="00251171" w:rsidP="00490049">
            <w:pPr>
              <w:jc w:val="both"/>
              <w:rPr>
                <w:rFonts w:ascii="Times New Roman" w:hAnsi="Times New Roman" w:cs="Times New Roman"/>
                <w:sz w:val="24"/>
                <w:szCs w:val="24"/>
              </w:rPr>
            </w:pPr>
            <w:r>
              <w:rPr>
                <w:rFonts w:ascii="Times New Roman" w:hAnsi="Times New Roman" w:cs="Times New Roman"/>
                <w:sz w:val="24"/>
                <w:szCs w:val="24"/>
              </w:rPr>
              <w:t>Объекты недвижимости</w:t>
            </w:r>
          </w:p>
        </w:tc>
        <w:tc>
          <w:tcPr>
            <w:tcW w:w="3968" w:type="dxa"/>
          </w:tcPr>
          <w:p w:rsidR="00251171" w:rsidRDefault="00251171" w:rsidP="00F6501C">
            <w:pPr>
              <w:ind w:right="-284"/>
              <w:jc w:val="both"/>
              <w:rPr>
                <w:rFonts w:ascii="Times New Roman" w:hAnsi="Times New Roman" w:cs="Times New Roman"/>
                <w:sz w:val="24"/>
                <w:szCs w:val="24"/>
              </w:rPr>
            </w:pPr>
            <w:r>
              <w:rPr>
                <w:rFonts w:ascii="Times New Roman" w:hAnsi="Times New Roman" w:cs="Times New Roman"/>
                <w:sz w:val="24"/>
                <w:szCs w:val="24"/>
              </w:rPr>
              <w:t>Не более 10</w:t>
            </w:r>
          </w:p>
        </w:tc>
      </w:tr>
    </w:tbl>
    <w:p w:rsidR="00F6501C" w:rsidRDefault="00F6501C" w:rsidP="00F6501C">
      <w:pPr>
        <w:spacing w:after="0"/>
        <w:ind w:left="-1134" w:right="-284"/>
        <w:jc w:val="both"/>
        <w:rPr>
          <w:rFonts w:ascii="Times New Roman" w:hAnsi="Times New Roman" w:cs="Times New Roman"/>
          <w:sz w:val="24"/>
          <w:szCs w:val="24"/>
        </w:rPr>
      </w:pPr>
    </w:p>
    <w:p w:rsidR="002159E3" w:rsidRPr="001F641B" w:rsidRDefault="002159E3" w:rsidP="001F641B">
      <w:pPr>
        <w:pStyle w:val="a3"/>
        <w:numPr>
          <w:ilvl w:val="0"/>
          <w:numId w:val="1"/>
        </w:numPr>
        <w:spacing w:after="0"/>
        <w:ind w:left="-1134" w:right="-284" w:firstLine="0"/>
        <w:jc w:val="both"/>
        <w:rPr>
          <w:rFonts w:ascii="Times New Roman" w:hAnsi="Times New Roman" w:cs="Times New Roman"/>
          <w:sz w:val="24"/>
          <w:szCs w:val="24"/>
        </w:rPr>
      </w:pPr>
      <w:r>
        <w:rPr>
          <w:rFonts w:ascii="Times New Roman" w:hAnsi="Times New Roman" w:cs="Times New Roman"/>
          <w:sz w:val="24"/>
          <w:szCs w:val="24"/>
        </w:rPr>
        <w:t>Средства компенсационного фонда могут быть размещены:</w:t>
      </w:r>
      <w:r w:rsidRPr="001F641B">
        <w:rPr>
          <w:rFonts w:ascii="Times New Roman" w:hAnsi="Times New Roman" w:cs="Times New Roman"/>
          <w:sz w:val="24"/>
          <w:szCs w:val="24"/>
        </w:rPr>
        <w:t xml:space="preserve"> </w:t>
      </w:r>
      <w:r w:rsidR="001F641B">
        <w:rPr>
          <w:rFonts w:ascii="Times New Roman" w:hAnsi="Times New Roman" w:cs="Times New Roman"/>
          <w:sz w:val="24"/>
          <w:szCs w:val="24"/>
        </w:rPr>
        <w:t>в</w:t>
      </w:r>
      <w:r w:rsidRPr="001F641B">
        <w:rPr>
          <w:rFonts w:ascii="Times New Roman" w:hAnsi="Times New Roman" w:cs="Times New Roman"/>
          <w:sz w:val="24"/>
          <w:szCs w:val="24"/>
        </w:rPr>
        <w:t xml:space="preserve"> активы, указанные в строке 1 Таблицы 1, только если они обращаются на организованном рынке ценных бумаг или специально выпущены Правительством Российской </w:t>
      </w:r>
      <w:r w:rsidR="00251171" w:rsidRPr="001F641B">
        <w:rPr>
          <w:rFonts w:ascii="Times New Roman" w:hAnsi="Times New Roman" w:cs="Times New Roman"/>
          <w:sz w:val="24"/>
          <w:szCs w:val="24"/>
        </w:rPr>
        <w:t>Федерации для размещения ср</w:t>
      </w:r>
      <w:r w:rsidR="001F641B">
        <w:rPr>
          <w:rFonts w:ascii="Times New Roman" w:hAnsi="Times New Roman" w:cs="Times New Roman"/>
          <w:sz w:val="24"/>
          <w:szCs w:val="24"/>
        </w:rPr>
        <w:t>едств институционных инвесторов.</w:t>
      </w:r>
    </w:p>
    <w:p w:rsidR="001F641B" w:rsidRDefault="00065A4A" w:rsidP="00E774C6">
      <w:pPr>
        <w:pStyle w:val="a3"/>
        <w:numPr>
          <w:ilvl w:val="0"/>
          <w:numId w:val="1"/>
        </w:numPr>
        <w:spacing w:after="0"/>
        <w:ind w:left="-1134" w:right="-284" w:firstLine="0"/>
        <w:jc w:val="both"/>
        <w:rPr>
          <w:rFonts w:ascii="Times New Roman" w:hAnsi="Times New Roman" w:cs="Times New Roman"/>
          <w:sz w:val="24"/>
          <w:szCs w:val="24"/>
        </w:rPr>
      </w:pPr>
      <w:r w:rsidRPr="001F641B">
        <w:rPr>
          <w:rFonts w:ascii="Times New Roman" w:hAnsi="Times New Roman" w:cs="Times New Roman"/>
          <w:sz w:val="24"/>
          <w:szCs w:val="24"/>
        </w:rPr>
        <w:t xml:space="preserve">Размещение средств компенсационного фонда в объекты инвестирования, не предусмотренные настоящей </w:t>
      </w:r>
      <w:r w:rsidR="00F307DE" w:rsidRPr="001F641B">
        <w:rPr>
          <w:rFonts w:ascii="Times New Roman" w:hAnsi="Times New Roman" w:cs="Times New Roman"/>
          <w:sz w:val="24"/>
          <w:szCs w:val="24"/>
        </w:rPr>
        <w:t>Инвестиционной</w:t>
      </w:r>
      <w:r w:rsidRPr="001F641B">
        <w:rPr>
          <w:rFonts w:ascii="Times New Roman" w:hAnsi="Times New Roman" w:cs="Times New Roman"/>
          <w:sz w:val="24"/>
          <w:szCs w:val="24"/>
        </w:rPr>
        <w:t xml:space="preserve"> декларацией</w:t>
      </w:r>
      <w:r w:rsidR="001F641B" w:rsidRPr="001F641B">
        <w:rPr>
          <w:rFonts w:ascii="Times New Roman" w:hAnsi="Times New Roman" w:cs="Times New Roman"/>
          <w:sz w:val="24"/>
          <w:szCs w:val="24"/>
        </w:rPr>
        <w:t xml:space="preserve"> в Таблице 1</w:t>
      </w:r>
      <w:r w:rsidRPr="001F641B">
        <w:rPr>
          <w:rFonts w:ascii="Times New Roman" w:hAnsi="Times New Roman" w:cs="Times New Roman"/>
          <w:sz w:val="24"/>
          <w:szCs w:val="24"/>
        </w:rPr>
        <w:t>, не допускается.</w:t>
      </w:r>
    </w:p>
    <w:p w:rsidR="00544C7A" w:rsidRDefault="00495C59" w:rsidP="00544C7A">
      <w:pPr>
        <w:pStyle w:val="a3"/>
        <w:numPr>
          <w:ilvl w:val="0"/>
          <w:numId w:val="1"/>
        </w:numPr>
        <w:spacing w:after="0"/>
        <w:ind w:left="-1134" w:right="-284" w:firstLine="0"/>
        <w:jc w:val="both"/>
        <w:rPr>
          <w:rFonts w:ascii="Times New Roman" w:hAnsi="Times New Roman" w:cs="Times New Roman"/>
          <w:sz w:val="24"/>
          <w:szCs w:val="24"/>
        </w:rPr>
      </w:pPr>
      <w:r w:rsidRPr="001F641B">
        <w:rPr>
          <w:rFonts w:ascii="Times New Roman" w:hAnsi="Times New Roman" w:cs="Times New Roman"/>
          <w:sz w:val="24"/>
          <w:szCs w:val="24"/>
        </w:rPr>
        <w:t xml:space="preserve">В случае нарушения требований к максимальной доли определенного класса активов в структуре активов из-за изменения рыночной или оценочной стоимости активов и (или) </w:t>
      </w:r>
      <w:r w:rsidR="00E774C6" w:rsidRPr="001F641B">
        <w:rPr>
          <w:rFonts w:ascii="Times New Roman" w:hAnsi="Times New Roman" w:cs="Times New Roman"/>
          <w:sz w:val="24"/>
          <w:szCs w:val="24"/>
        </w:rPr>
        <w:t xml:space="preserve">изменения в структуре </w:t>
      </w:r>
      <w:r w:rsidR="00E774C6" w:rsidRPr="001F641B">
        <w:rPr>
          <w:rFonts w:ascii="Times New Roman" w:hAnsi="Times New Roman" w:cs="Times New Roman"/>
          <w:sz w:val="24"/>
          <w:szCs w:val="24"/>
        </w:rPr>
        <w:lastRenderedPageBreak/>
        <w:t>собственности эмитента Управляющая компания обязана скорректировать структуру активов в соответствии с требованиями к структуре активов в течение одного месяца со дня обнаружения указанного нарушения.</w:t>
      </w:r>
    </w:p>
    <w:p w:rsidR="00544C7A" w:rsidRPr="00544C7A" w:rsidRDefault="00544C7A" w:rsidP="00544C7A">
      <w:pPr>
        <w:pStyle w:val="a3"/>
        <w:numPr>
          <w:ilvl w:val="0"/>
          <w:numId w:val="1"/>
        </w:numPr>
        <w:autoSpaceDE w:val="0"/>
        <w:autoSpaceDN w:val="0"/>
        <w:adjustRightInd w:val="0"/>
        <w:spacing w:after="0"/>
        <w:ind w:left="-1134" w:right="-284" w:firstLine="0"/>
        <w:jc w:val="both"/>
        <w:rPr>
          <w:rFonts w:ascii="Times New Roman" w:hAnsi="Times New Roman" w:cs="Times New Roman"/>
          <w:sz w:val="24"/>
          <w:szCs w:val="24"/>
        </w:rPr>
      </w:pPr>
      <w:r w:rsidRPr="00544C7A">
        <w:rPr>
          <w:rFonts w:ascii="Times New Roman" w:hAnsi="Times New Roman" w:cs="Times New Roman"/>
          <w:sz w:val="24"/>
          <w:szCs w:val="24"/>
        </w:rPr>
        <w:t>Управляющая компания обязана соблюдать установленные нормативными правовыми актами Федеральной службы по финансовым рынкам требования, направленные на снижение рисков, связанных с размещением средств компенсационного фонда, в том числе требования к совершению срочных сделок, принятию решений, связанных с размещением средств компенсационного фонда, а также к осуществлению внутреннего контроля за соблюдением настоящей Декларации, иных нормативных правовых актов и договора</w:t>
      </w:r>
      <w:r>
        <w:rPr>
          <w:rFonts w:ascii="Times New Roman" w:hAnsi="Times New Roman" w:cs="Times New Roman"/>
          <w:sz w:val="24"/>
          <w:szCs w:val="24"/>
        </w:rPr>
        <w:t xml:space="preserve"> </w:t>
      </w:r>
      <w:r w:rsidRPr="00544C7A">
        <w:rPr>
          <w:rFonts w:ascii="Times New Roman" w:hAnsi="Times New Roman" w:cs="Times New Roman"/>
          <w:sz w:val="24"/>
          <w:szCs w:val="24"/>
        </w:rPr>
        <w:t>доверительного управления компенсационным фондом.</w:t>
      </w:r>
    </w:p>
    <w:p w:rsidR="00544C7A" w:rsidRDefault="00544C7A" w:rsidP="00544C7A">
      <w:pPr>
        <w:pStyle w:val="a3"/>
        <w:numPr>
          <w:ilvl w:val="0"/>
          <w:numId w:val="1"/>
        </w:numPr>
        <w:autoSpaceDE w:val="0"/>
        <w:autoSpaceDN w:val="0"/>
        <w:adjustRightInd w:val="0"/>
        <w:spacing w:after="0"/>
        <w:ind w:left="-1134" w:right="-284" w:firstLine="0"/>
        <w:jc w:val="both"/>
        <w:rPr>
          <w:rFonts w:ascii="Times New Roman" w:hAnsi="Times New Roman" w:cs="Times New Roman"/>
          <w:sz w:val="24"/>
          <w:szCs w:val="24"/>
        </w:rPr>
      </w:pPr>
      <w:r w:rsidRPr="00544C7A">
        <w:rPr>
          <w:rFonts w:ascii="Times New Roman" w:hAnsi="Times New Roman" w:cs="Times New Roman"/>
          <w:sz w:val="24"/>
          <w:szCs w:val="24"/>
        </w:rPr>
        <w:t>Приобретение и продажа государственных ценных бумаг Российской Федерации (за исключением облигаций внешних облигационных займов Российской Федерации), допущенных к торгам Российскими организаторами торговли на рынке ценных бумаг, при размещении средств компенсационного фонда осуществляются на торгах этого организатора торговли на рынке ценных бумаг на условиях поставки против платежа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w:t>
      </w:r>
      <w:r>
        <w:rPr>
          <w:rFonts w:ascii="Times New Roman" w:hAnsi="Times New Roman" w:cs="Times New Roman"/>
          <w:sz w:val="24"/>
          <w:szCs w:val="24"/>
        </w:rPr>
        <w:t xml:space="preserve"> </w:t>
      </w:r>
      <w:r w:rsidRPr="00544C7A">
        <w:rPr>
          <w:rFonts w:ascii="Times New Roman" w:hAnsi="Times New Roman" w:cs="Times New Roman"/>
          <w:sz w:val="24"/>
          <w:szCs w:val="24"/>
        </w:rPr>
        <w:t>другим участникам.</w:t>
      </w:r>
    </w:p>
    <w:p w:rsidR="00544C7A" w:rsidRPr="00544C7A" w:rsidRDefault="00544C7A" w:rsidP="00544C7A">
      <w:pPr>
        <w:autoSpaceDE w:val="0"/>
        <w:autoSpaceDN w:val="0"/>
        <w:adjustRightInd w:val="0"/>
        <w:spacing w:after="0"/>
        <w:ind w:left="-1134" w:right="-284"/>
        <w:jc w:val="both"/>
        <w:rPr>
          <w:rFonts w:ascii="Times New Roman" w:hAnsi="Times New Roman" w:cs="Times New Roman"/>
          <w:sz w:val="24"/>
          <w:szCs w:val="24"/>
        </w:rPr>
      </w:pPr>
      <w:r>
        <w:rPr>
          <w:rFonts w:ascii="Times New Roman" w:hAnsi="Times New Roman" w:cs="Times New Roman"/>
          <w:sz w:val="24"/>
          <w:szCs w:val="24"/>
        </w:rPr>
        <w:t xml:space="preserve">12. </w:t>
      </w:r>
      <w:r w:rsidRPr="00544C7A">
        <w:rPr>
          <w:rFonts w:ascii="Times New Roman" w:hAnsi="Times New Roman" w:cs="Times New Roman"/>
          <w:sz w:val="24"/>
          <w:szCs w:val="24"/>
        </w:rPr>
        <w:t>Приобретение государственных ценных бумаг Российской Федерации входе их</w:t>
      </w:r>
      <w:r>
        <w:rPr>
          <w:rFonts w:ascii="Times New Roman" w:hAnsi="Times New Roman" w:cs="Times New Roman"/>
          <w:sz w:val="24"/>
          <w:szCs w:val="24"/>
        </w:rPr>
        <w:t xml:space="preserve"> </w:t>
      </w:r>
      <w:r w:rsidRPr="00544C7A">
        <w:rPr>
          <w:rFonts w:ascii="Times New Roman" w:hAnsi="Times New Roman" w:cs="Times New Roman"/>
          <w:sz w:val="24"/>
          <w:szCs w:val="24"/>
        </w:rPr>
        <w:t>размещения (за исключением облигаций внешних облигационных займов Российской</w:t>
      </w:r>
      <w:r>
        <w:rPr>
          <w:rFonts w:ascii="Times New Roman" w:hAnsi="Times New Roman" w:cs="Times New Roman"/>
          <w:sz w:val="24"/>
          <w:szCs w:val="24"/>
        </w:rPr>
        <w:t xml:space="preserve"> </w:t>
      </w:r>
      <w:r w:rsidRPr="00544C7A">
        <w:rPr>
          <w:rFonts w:ascii="Times New Roman" w:hAnsi="Times New Roman" w:cs="Times New Roman"/>
          <w:sz w:val="24"/>
          <w:szCs w:val="24"/>
        </w:rPr>
        <w:t>Федерации и государственных ценных бумаг Российской Федерации, специально</w:t>
      </w:r>
      <w:r>
        <w:rPr>
          <w:rFonts w:ascii="Times New Roman" w:hAnsi="Times New Roman" w:cs="Times New Roman"/>
          <w:sz w:val="24"/>
          <w:szCs w:val="24"/>
        </w:rPr>
        <w:t xml:space="preserve"> </w:t>
      </w:r>
      <w:r w:rsidRPr="00544C7A">
        <w:rPr>
          <w:rFonts w:ascii="Times New Roman" w:hAnsi="Times New Roman" w:cs="Times New Roman"/>
          <w:sz w:val="24"/>
          <w:szCs w:val="24"/>
        </w:rPr>
        <w:t>выпущенных для размещения средств институциональных инвесторов) осуществляется на</w:t>
      </w:r>
      <w:r>
        <w:rPr>
          <w:rFonts w:ascii="Times New Roman" w:hAnsi="Times New Roman" w:cs="Times New Roman"/>
          <w:sz w:val="24"/>
          <w:szCs w:val="24"/>
        </w:rPr>
        <w:t xml:space="preserve"> </w:t>
      </w:r>
      <w:r w:rsidRPr="00544C7A">
        <w:rPr>
          <w:rFonts w:ascii="Times New Roman" w:hAnsi="Times New Roman" w:cs="Times New Roman"/>
          <w:sz w:val="24"/>
          <w:szCs w:val="24"/>
        </w:rPr>
        <w:t>торгах у Российских организаторов торговли на рынке ценных бумаг на условиях поставки</w:t>
      </w:r>
      <w:r>
        <w:rPr>
          <w:rFonts w:ascii="Times New Roman" w:hAnsi="Times New Roman" w:cs="Times New Roman"/>
          <w:sz w:val="24"/>
          <w:szCs w:val="24"/>
        </w:rPr>
        <w:t xml:space="preserve"> </w:t>
      </w:r>
      <w:r w:rsidRPr="00544C7A">
        <w:rPr>
          <w:rFonts w:ascii="Times New Roman" w:hAnsi="Times New Roman" w:cs="Times New Roman"/>
          <w:sz w:val="24"/>
          <w:szCs w:val="24"/>
        </w:rPr>
        <w:t>против платежа.</w:t>
      </w:r>
    </w:p>
    <w:p w:rsidR="00544C7A" w:rsidRPr="00544C7A" w:rsidRDefault="00544C7A" w:rsidP="00544C7A">
      <w:pPr>
        <w:autoSpaceDE w:val="0"/>
        <w:autoSpaceDN w:val="0"/>
        <w:adjustRightInd w:val="0"/>
        <w:spacing w:after="0"/>
        <w:ind w:left="-1134" w:right="-284"/>
        <w:jc w:val="both"/>
        <w:rPr>
          <w:rFonts w:ascii="Times New Roman" w:hAnsi="Times New Roman" w:cs="Times New Roman"/>
          <w:sz w:val="24"/>
          <w:szCs w:val="24"/>
        </w:rPr>
      </w:pPr>
      <w:r>
        <w:rPr>
          <w:rFonts w:ascii="Times New Roman" w:hAnsi="Times New Roman" w:cs="Times New Roman"/>
          <w:sz w:val="24"/>
          <w:szCs w:val="24"/>
        </w:rPr>
        <w:t xml:space="preserve">13. </w:t>
      </w:r>
      <w:r w:rsidRPr="00544C7A">
        <w:rPr>
          <w:rFonts w:ascii="Times New Roman" w:hAnsi="Times New Roman" w:cs="Times New Roman"/>
          <w:sz w:val="24"/>
          <w:szCs w:val="24"/>
        </w:rPr>
        <w:t>Приобретение за счет средств компенсационного фонда государственных ценных</w:t>
      </w:r>
      <w:r>
        <w:rPr>
          <w:rFonts w:ascii="Times New Roman" w:hAnsi="Times New Roman" w:cs="Times New Roman"/>
          <w:sz w:val="24"/>
          <w:szCs w:val="24"/>
        </w:rPr>
        <w:t xml:space="preserve"> </w:t>
      </w:r>
      <w:r w:rsidRPr="00544C7A">
        <w:rPr>
          <w:rFonts w:ascii="Times New Roman" w:hAnsi="Times New Roman" w:cs="Times New Roman"/>
          <w:sz w:val="24"/>
          <w:szCs w:val="24"/>
        </w:rPr>
        <w:t xml:space="preserve">бумаг </w:t>
      </w:r>
      <w:r>
        <w:rPr>
          <w:rFonts w:ascii="Times New Roman" w:hAnsi="Times New Roman" w:cs="Times New Roman"/>
          <w:sz w:val="24"/>
          <w:szCs w:val="24"/>
        </w:rPr>
        <w:t xml:space="preserve"> Р</w:t>
      </w:r>
      <w:r w:rsidRPr="00544C7A">
        <w:rPr>
          <w:rFonts w:ascii="Times New Roman" w:hAnsi="Times New Roman" w:cs="Times New Roman"/>
          <w:sz w:val="24"/>
          <w:szCs w:val="24"/>
        </w:rPr>
        <w:t>оссийской Федерации, специально выпущенных для размещения средств</w:t>
      </w:r>
      <w:r>
        <w:rPr>
          <w:rFonts w:ascii="Times New Roman" w:hAnsi="Times New Roman" w:cs="Times New Roman"/>
          <w:sz w:val="24"/>
          <w:szCs w:val="24"/>
        </w:rPr>
        <w:t xml:space="preserve"> </w:t>
      </w:r>
      <w:r w:rsidRPr="00544C7A">
        <w:rPr>
          <w:rFonts w:ascii="Times New Roman" w:hAnsi="Times New Roman" w:cs="Times New Roman"/>
          <w:sz w:val="24"/>
          <w:szCs w:val="24"/>
        </w:rPr>
        <w:t>институциональных инвесторов, осуществляется в соответствии с условиями эмиссии и</w:t>
      </w:r>
      <w:r>
        <w:rPr>
          <w:rFonts w:ascii="Times New Roman" w:hAnsi="Times New Roman" w:cs="Times New Roman"/>
          <w:sz w:val="24"/>
          <w:szCs w:val="24"/>
        </w:rPr>
        <w:t xml:space="preserve"> </w:t>
      </w:r>
      <w:r w:rsidRPr="00544C7A">
        <w:rPr>
          <w:rFonts w:ascii="Times New Roman" w:hAnsi="Times New Roman" w:cs="Times New Roman"/>
          <w:sz w:val="24"/>
          <w:szCs w:val="24"/>
        </w:rPr>
        <w:t>обращения указанных ценных бумаг.</w:t>
      </w:r>
    </w:p>
    <w:p w:rsidR="00C13B71" w:rsidRPr="00065A4A" w:rsidRDefault="00C13B71" w:rsidP="00C13B71">
      <w:pPr>
        <w:pStyle w:val="a3"/>
        <w:spacing w:after="0"/>
        <w:ind w:left="-1134" w:right="-284"/>
        <w:jc w:val="both"/>
        <w:rPr>
          <w:rFonts w:ascii="Times New Roman" w:hAnsi="Times New Roman" w:cs="Times New Roman"/>
          <w:sz w:val="24"/>
          <w:szCs w:val="24"/>
        </w:rPr>
      </w:pPr>
    </w:p>
    <w:sectPr w:rsidR="00C13B71" w:rsidRPr="00065A4A" w:rsidSect="00AE0DB8">
      <w:pgSz w:w="11906" w:h="16838"/>
      <w:pgMar w:top="1134" w:right="850" w:bottom="1134"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6292F"/>
    <w:multiLevelType w:val="multilevel"/>
    <w:tmpl w:val="03483994"/>
    <w:lvl w:ilvl="0">
      <w:start w:val="1"/>
      <w:numFmt w:val="decimal"/>
      <w:lvlText w:val="%1."/>
      <w:lvlJc w:val="left"/>
      <w:pPr>
        <w:ind w:left="-774" w:hanging="360"/>
      </w:pPr>
      <w:rPr>
        <w:rFonts w:hint="default"/>
      </w:rPr>
    </w:lvl>
    <w:lvl w:ilvl="1">
      <w:start w:val="1"/>
      <w:numFmt w:val="decimal"/>
      <w:isLgl/>
      <w:lvlText w:val="%1.%2."/>
      <w:lvlJc w:val="left"/>
      <w:pPr>
        <w:ind w:left="-774" w:hanging="360"/>
      </w:pPr>
      <w:rPr>
        <w:rFonts w:hint="default"/>
      </w:rPr>
    </w:lvl>
    <w:lvl w:ilvl="2">
      <w:start w:val="1"/>
      <w:numFmt w:val="decimal"/>
      <w:isLgl/>
      <w:lvlText w:val="%1.%2.%3."/>
      <w:lvlJc w:val="left"/>
      <w:pPr>
        <w:ind w:left="-414" w:hanging="720"/>
      </w:pPr>
      <w:rPr>
        <w:rFonts w:hint="default"/>
      </w:rPr>
    </w:lvl>
    <w:lvl w:ilvl="3">
      <w:start w:val="1"/>
      <w:numFmt w:val="decimal"/>
      <w:isLgl/>
      <w:lvlText w:val="%1.%2.%3.%4."/>
      <w:lvlJc w:val="left"/>
      <w:pPr>
        <w:ind w:left="-414" w:hanging="72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54" w:hanging="1080"/>
      </w:pPr>
      <w:rPr>
        <w:rFonts w:hint="default"/>
      </w:rPr>
    </w:lvl>
    <w:lvl w:ilvl="6">
      <w:start w:val="1"/>
      <w:numFmt w:val="decimal"/>
      <w:isLgl/>
      <w:lvlText w:val="%1.%2.%3.%4.%5.%6.%7."/>
      <w:lvlJc w:val="left"/>
      <w:pPr>
        <w:ind w:left="306" w:hanging="1440"/>
      </w:pPr>
      <w:rPr>
        <w:rFonts w:hint="default"/>
      </w:rPr>
    </w:lvl>
    <w:lvl w:ilvl="7">
      <w:start w:val="1"/>
      <w:numFmt w:val="decimal"/>
      <w:isLgl/>
      <w:lvlText w:val="%1.%2.%3.%4.%5.%6.%7.%8."/>
      <w:lvlJc w:val="left"/>
      <w:pPr>
        <w:ind w:left="306" w:hanging="1440"/>
      </w:pPr>
      <w:rPr>
        <w:rFonts w:hint="default"/>
      </w:rPr>
    </w:lvl>
    <w:lvl w:ilvl="8">
      <w:start w:val="1"/>
      <w:numFmt w:val="decimal"/>
      <w:isLgl/>
      <w:lvlText w:val="%1.%2.%3.%4.%5.%6.%7.%8.%9."/>
      <w:lvlJc w:val="left"/>
      <w:pPr>
        <w:ind w:left="66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B8"/>
    <w:rsid w:val="00065A4A"/>
    <w:rsid w:val="000B675C"/>
    <w:rsid w:val="001F641B"/>
    <w:rsid w:val="002159E3"/>
    <w:rsid w:val="00251171"/>
    <w:rsid w:val="00490049"/>
    <w:rsid w:val="00495C59"/>
    <w:rsid w:val="00544C7A"/>
    <w:rsid w:val="0059785E"/>
    <w:rsid w:val="00614170"/>
    <w:rsid w:val="0070586C"/>
    <w:rsid w:val="00A67B7A"/>
    <w:rsid w:val="00AE0DB8"/>
    <w:rsid w:val="00B225CC"/>
    <w:rsid w:val="00B461FD"/>
    <w:rsid w:val="00C13B71"/>
    <w:rsid w:val="00C93C24"/>
    <w:rsid w:val="00D04745"/>
    <w:rsid w:val="00E774C6"/>
    <w:rsid w:val="00F307DE"/>
    <w:rsid w:val="00F65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DB8"/>
    <w:pPr>
      <w:ind w:left="720"/>
      <w:contextualSpacing/>
    </w:pPr>
  </w:style>
  <w:style w:type="table" w:styleId="a4">
    <w:name w:val="Table Grid"/>
    <w:basedOn w:val="a1"/>
    <w:uiPriority w:val="59"/>
    <w:rsid w:val="00F6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DB8"/>
    <w:pPr>
      <w:ind w:left="720"/>
      <w:contextualSpacing/>
    </w:pPr>
  </w:style>
  <w:style w:type="table" w:styleId="a4">
    <w:name w:val="Table Grid"/>
    <w:basedOn w:val="a1"/>
    <w:uiPriority w:val="59"/>
    <w:rsid w:val="00F6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2E2D-10E6-48CF-824A-FBB06C0B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Машенька</cp:lastModifiedBy>
  <cp:revision>4</cp:revision>
  <dcterms:created xsi:type="dcterms:W3CDTF">2014-07-08T06:59:00Z</dcterms:created>
  <dcterms:modified xsi:type="dcterms:W3CDTF">2015-06-13T10:52:00Z</dcterms:modified>
</cp:coreProperties>
</file>